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42DD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2814D45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6530AD6">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lang w:val="en-US" w:eastAsia="zh-CN"/>
              </w:rPr>
              <w:t>0</w:t>
            </w:r>
            <w:r>
              <w:rPr>
                <w:rFonts w:hint="eastAsia" w:ascii="黑体" w:hAnsi="黑体" w:eastAsia="黑体"/>
                <w:sz w:val="21"/>
                <w:szCs w:val="21"/>
              </w:rPr>
              <w:t>3</w:t>
            </w:r>
            <w:r>
              <w:rPr>
                <w:rFonts w:ascii="黑体" w:hAnsi="黑体" w:eastAsia="黑体"/>
                <w:sz w:val="21"/>
                <w:szCs w:val="21"/>
              </w:rPr>
              <w:t>.0</w:t>
            </w:r>
            <w:r>
              <w:rPr>
                <w:rFonts w:hint="eastAsia" w:ascii="黑体" w:hAnsi="黑体" w:eastAsia="黑体"/>
                <w:sz w:val="21"/>
                <w:szCs w:val="21"/>
                <w:lang w:val="en-US" w:eastAsia="zh-CN"/>
              </w:rPr>
              <w:t>8</w:t>
            </w:r>
            <w:r>
              <w:rPr>
                <w:rFonts w:ascii="黑体" w:hAnsi="黑体" w:eastAsia="黑体"/>
                <w:sz w:val="21"/>
                <w:szCs w:val="21"/>
              </w:rPr>
              <w:t>0</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7CB3F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5117AC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A504473">
            <w:pPr>
              <w:pStyle w:val="18"/>
              <w:framePr w:wrap="notBeside" w:vAnchor="page" w:hAnchor="page" w:x="1372" w:y="568"/>
              <w:tabs>
                <w:tab w:val="clear" w:pos="4153"/>
                <w:tab w:val="clear" w:pos="8306"/>
              </w:tabs>
              <w:spacing w:before="40" w:line="240" w:lineRule="auto"/>
              <w:jc w:val="left"/>
              <w:rPr>
                <w:rFonts w:hint="default" w:ascii="黑体" w:hAnsi="黑体" w:eastAsia="黑体"/>
                <w:sz w:val="21"/>
                <w:szCs w:val="21"/>
                <w:lang w:val="en-US" w:eastAsia="zh-CN"/>
              </w:rPr>
            </w:pPr>
            <w:r>
              <w:rPr>
                <w:rFonts w:hint="eastAsia" w:ascii="黑体" w:hAnsi="黑体" w:eastAsia="黑体"/>
                <w:sz w:val="21"/>
                <w:szCs w:val="21"/>
                <w:lang w:val="en-US" w:eastAsia="zh-CN"/>
              </w:rPr>
              <w:t>A</w:t>
            </w:r>
            <w:r>
              <w:rPr>
                <w:rFonts w:ascii="黑体" w:hAnsi="黑体" w:eastAsia="黑体"/>
                <w:sz w:val="21"/>
                <w:szCs w:val="21"/>
              </w:rPr>
              <w:t xml:space="preserve"> </w:t>
            </w:r>
            <w:r>
              <w:rPr>
                <w:rFonts w:hint="eastAsia" w:ascii="黑体" w:hAnsi="黑体" w:eastAsia="黑体"/>
                <w:sz w:val="21"/>
                <w:szCs w:val="21"/>
                <w:lang w:val="en-US" w:eastAsia="zh-CN"/>
              </w:rPr>
              <w:t>16</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08C1C7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5F08006">
            <w:pPr>
              <w:pStyle w:val="49"/>
              <w:framePr w:w="0" w:hRule="auto" w:wrap="auto" w:vAnchor="margin" w:hAnchor="text" w:xAlign="left" w:yAlign="inline"/>
              <w:rPr>
                <w:rFonts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t>32</w:t>
            </w:r>
            <w:r>
              <w:fldChar w:fldCharType="end"/>
            </w:r>
            <w:bookmarkEnd w:id="2"/>
          </w:p>
        </w:tc>
      </w:tr>
    </w:tbl>
    <w:p w14:paraId="427CB747">
      <w:pPr>
        <w:pStyle w:val="50"/>
        <w:framePr w:w="9639" w:h="624" w:hRule="exact" w:hSpace="181" w:vSpace="181" w:wrap="around" w:hAnchor="page" w:x="1305" w:y="2269"/>
        <w:rPr>
          <w:rFonts w:ascii="黑体" w:hAnsi="黑体" w:eastAsia="黑体"/>
          <w:b w:val="0"/>
          <w:bCs w:val="0"/>
          <w:w w:val="100"/>
          <w:sz w:val="48"/>
          <w:szCs w:val="48"/>
        </w:rPr>
      </w:pPr>
      <w:r>
        <w:rPr>
          <w:rFonts w:hint="eastAsia" w:ascii="黑体" w:eastAsia="黑体"/>
          <w:b w:val="0"/>
          <w:w w:val="100"/>
          <w:sz w:val="48"/>
        </w:rPr>
        <w:t>江苏省</w:t>
      </w:r>
      <w:r>
        <w:rPr>
          <w:rFonts w:hint="eastAsia" w:ascii="黑体" w:hAnsi="黑体" w:eastAsia="黑体"/>
          <w:b w:val="0"/>
          <w:bCs w:val="0"/>
          <w:w w:val="100"/>
          <w:sz w:val="48"/>
          <w:szCs w:val="48"/>
        </w:rPr>
        <w:t>地方标准</w:t>
      </w:r>
    </w:p>
    <w:bookmarkEnd w:id="1"/>
    <w:p w14:paraId="245D4FB7">
      <w:pPr>
        <w:pStyle w:val="195"/>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lang w:val="fr-FR"/>
        </w:rPr>
        <w:t>32/T</w:t>
      </w:r>
      <w:r>
        <w:fldChar w:fldCharType="end"/>
      </w:r>
      <w:bookmarkEnd w:id="3"/>
      <w:r>
        <w:rPr>
          <w:lang w:val="fr-FR"/>
        </w:rPr>
        <w:t xml:space="preserve"> </w:t>
      </w:r>
      <w:r>
        <w:rPr>
          <w:rFonts w:hint="eastAsia"/>
        </w:rPr>
        <w:t>XXXX</w:t>
      </w:r>
      <w:r>
        <w:rPr>
          <w:rFonts w:hAnsi="黑体"/>
          <w:lang w:val="fr-FR"/>
        </w:rPr>
        <w:t>—</w:t>
      </w:r>
      <w:r>
        <w:rPr>
          <w:rFonts w:hint="eastAsia"/>
        </w:rPr>
        <w:t>XXXX</w:t>
      </w:r>
    </w:p>
    <w:p w14:paraId="548B0A16">
      <w:pPr>
        <w:pStyle w:val="196"/>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14:paraId="743A531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B05EE6F">
      <w:pPr>
        <w:pStyle w:val="50"/>
        <w:framePr w:w="9639" w:h="6976" w:hRule="exact" w:hSpace="0" w:vSpace="0" w:wrap="around" w:hAnchor="page" w:y="6408"/>
        <w:jc w:val="center"/>
        <w:rPr>
          <w:rFonts w:ascii="黑体" w:hAnsi="黑体" w:eastAsia="黑体"/>
          <w:b w:val="0"/>
          <w:bCs w:val="0"/>
          <w:w w:val="100"/>
        </w:rPr>
      </w:pPr>
    </w:p>
    <w:p w14:paraId="0644BA19">
      <w:pPr>
        <w:pStyle w:val="197"/>
        <w:framePr w:h="6974" w:hRule="exact" w:wrap="around" w:x="1419" w:anchorLock="1"/>
      </w:pPr>
      <w:bookmarkStart w:id="48" w:name="_GoBack"/>
      <w:r>
        <w:rPr>
          <w:rFonts w:hint="eastAsia"/>
          <w:lang w:eastAsia="zh-CN"/>
        </w:rPr>
        <w:t>跨区</w:t>
      </w:r>
      <w:r>
        <w:rPr>
          <w:rFonts w:hint="eastAsia"/>
        </w:rPr>
        <w:t>域公务出行一体化保障管理规范</w:t>
      </w:r>
    </w:p>
    <w:bookmarkEnd w:id="48"/>
    <w:p w14:paraId="0989EFC1">
      <w:pPr>
        <w:framePr w:w="9639" w:h="6974" w:hRule="exact" w:wrap="around" w:vAnchor="page" w:hAnchor="page" w:x="1419" w:y="6408" w:anchorLock="1"/>
        <w:ind w:left="-1418"/>
      </w:pPr>
    </w:p>
    <w:p w14:paraId="2000880F">
      <w:pPr>
        <w:pStyle w:val="125"/>
        <w:framePr w:w="9639" w:h="6974" w:hRule="exact" w:wrap="around" w:vAnchor="page" w:hAnchor="page" w:x="1419" w:y="6408" w:anchorLock="1"/>
        <w:textAlignment w:val="bottom"/>
        <w:rPr>
          <w:rFonts w:eastAsia="黑体"/>
          <w:szCs w:val="28"/>
        </w:rPr>
      </w:pPr>
      <w:r>
        <w:rPr>
          <w:rFonts w:hint="eastAsia"/>
          <w:lang w:val="en-US" w:eastAsia="zh-CN"/>
        </w:rPr>
        <w:t>Management specification for integrated</w:t>
      </w:r>
      <w:r>
        <w:t> </w:t>
      </w:r>
      <w:r>
        <w:rPr>
          <w:rFonts w:hint="eastAsia"/>
          <w:lang w:val="en-US" w:eastAsia="zh-CN"/>
        </w:rPr>
        <w:t>guarantee of cross regional official travel</w:t>
      </w:r>
    </w:p>
    <w:p w14:paraId="7CBE8ABB">
      <w:pPr>
        <w:framePr w:w="9639" w:h="6974" w:hRule="exact" w:wrap="around" w:vAnchor="page" w:hAnchor="page" w:x="1419" w:y="6408" w:anchorLock="1"/>
        <w:spacing w:line="760" w:lineRule="exact"/>
        <w:ind w:left="-1418"/>
      </w:pPr>
    </w:p>
    <w:p w14:paraId="3823407F">
      <w:pPr>
        <w:pStyle w:val="125"/>
        <w:framePr w:w="9639" w:h="6974" w:hRule="exact" w:wrap="around" w:vAnchor="page" w:hAnchor="page" w:x="1419" w:y="6408" w:anchorLock="1"/>
        <w:textAlignment w:val="bottom"/>
        <w:rPr>
          <w:rFonts w:eastAsia="黑体"/>
          <w:szCs w:val="28"/>
        </w:rPr>
      </w:pPr>
    </w:p>
    <w:p w14:paraId="30028719">
      <w:pPr>
        <w:pStyle w:val="125"/>
        <w:framePr w:w="9639" w:h="6974" w:hRule="exact" w:wrap="around" w:vAnchor="page" w:hAnchor="page" w:x="1419" w:y="6408" w:anchorLock="1"/>
        <w:spacing w:before="440" w:after="160"/>
        <w:textAlignment w:val="bottom"/>
        <w:rPr>
          <w:sz w:val="24"/>
          <w:szCs w:val="28"/>
        </w:rPr>
      </w:pPr>
      <w:r>
        <w:rPr>
          <w:rFonts w:hint="eastAsia"/>
          <w:sz w:val="24"/>
          <w:szCs w:val="28"/>
        </w:rPr>
        <w:t>（送审稿）</w:t>
      </w:r>
      <w:bookmarkStart w:id="5" w:name="下拉1"/>
      <w:r>
        <w:rPr>
          <w:rFonts w:hint="eastAsia"/>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rFonts w:hint="eastAsia"/>
          <w:sz w:val="24"/>
          <w:szCs w:val="28"/>
        </w:rPr>
        <w:instrText xml:space="preserve">FORMDROPDOWN</w:instrText>
      </w:r>
      <w:r>
        <w:rPr>
          <w:sz w:val="24"/>
          <w:szCs w:val="28"/>
        </w:rPr>
        <w:fldChar w:fldCharType="separate"/>
      </w:r>
      <w:r>
        <w:rPr>
          <w:rFonts w:hint="eastAsia"/>
          <w:sz w:val="24"/>
          <w:szCs w:val="28"/>
        </w:rPr>
        <w:fldChar w:fldCharType="end"/>
      </w:r>
      <w:bookmarkEnd w:id="5"/>
    </w:p>
    <w:p w14:paraId="78F4F374">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6" w:name="下拉2"/>
      <w:r>
        <w:rPr>
          <w:b/>
          <w:sz w:val="21"/>
          <w:szCs w:val="28"/>
        </w:rPr>
        <w:instrText xml:space="preserve"> FORMDROPDOWN </w:instrText>
      </w:r>
      <w:r>
        <w:rPr>
          <w:b/>
          <w:sz w:val="21"/>
          <w:szCs w:val="28"/>
        </w:rPr>
        <w:fldChar w:fldCharType="separate"/>
      </w:r>
      <w:r>
        <w:rPr>
          <w:b/>
          <w:sz w:val="21"/>
          <w:szCs w:val="28"/>
        </w:rPr>
        <w:fldChar w:fldCharType="end"/>
      </w:r>
      <w:bookmarkEnd w:id="6"/>
    </w:p>
    <w:p w14:paraId="19EB1DF7">
      <w:pPr>
        <w:pStyle w:val="193"/>
        <w:framePr w:wrap="around" w:y="14176"/>
      </w:pPr>
      <w:r>
        <w:rPr>
          <w:rFonts w:hint="eastAsia" w:ascii="黑体"/>
        </w:rPr>
        <w:t>XXXX</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hint="eastAsia" w:ascii="黑体"/>
        </w:rPr>
        <w:t>XX</w:t>
      </w:r>
      <w:r>
        <w:rPr>
          <w:rFonts w:hint="eastAsia"/>
        </w:rPr>
        <w:t>发布</w:t>
      </w:r>
    </w:p>
    <w:p w14:paraId="6F48DDEB">
      <w:pPr>
        <w:pStyle w:val="194"/>
        <w:framePr w:wrap="around" w:y="14176"/>
      </w:pPr>
      <w:r>
        <w:rPr>
          <w:rFonts w:hint="eastAsia" w:ascii="黑体"/>
        </w:rPr>
        <w:t>XXXX</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hint="eastAsia" w:ascii="黑体"/>
        </w:rPr>
        <w:t>XX</w:t>
      </w:r>
      <w:r>
        <w:rPr>
          <w:rFonts w:hint="eastAsia"/>
        </w:rPr>
        <w:t>实施</w:t>
      </w:r>
    </w:p>
    <w:p w14:paraId="4369AD81">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7"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w:t>
      </w:r>
      <w:r>
        <w:rPr>
          <w:rFonts w:hAnsi="黑体"/>
          <w:w w:val="100"/>
          <w:sz w:val="28"/>
        </w:rPr>
        <w:t>市场监督管理局</w:t>
      </w:r>
      <w:r>
        <w:rPr>
          <w:rFonts w:hAnsi="黑体"/>
          <w:w w:val="100"/>
          <w:sz w:val="28"/>
        </w:rPr>
        <w:fldChar w:fldCharType="end"/>
      </w:r>
      <w:bookmarkEnd w:id="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1034583">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pgNumType w:fmt="decimal"/>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F038D06">
      <w:pPr>
        <w:pStyle w:val="230"/>
      </w:pPr>
      <w:bookmarkStart w:id="8" w:name="_Toc20599"/>
      <w:bookmarkStart w:id="9" w:name="_Toc32451"/>
      <w:bookmarkStart w:id="10" w:name="_Toc29720"/>
      <w:bookmarkStart w:id="11" w:name="_Toc9966"/>
      <w:bookmarkStart w:id="12" w:name="_Toc7979"/>
      <w:bookmarkStart w:id="13" w:name="BookMark2"/>
      <w:r>
        <w:rPr>
          <w:rFonts w:hint="eastAsia"/>
        </w:rPr>
        <w:t>目</w:t>
      </w:r>
      <w:bookmarkStart w:id="14" w:name="BKML"/>
      <w:r>
        <w:rPr>
          <w:rFonts w:hAnsi="黑体"/>
        </w:rPr>
        <w:t>  </w:t>
      </w:r>
      <w:bookmarkEnd w:id="8"/>
      <w:bookmarkEnd w:id="9"/>
      <w:bookmarkEnd w:id="14"/>
      <w:r>
        <w:rPr>
          <w:rFonts w:hint="eastAsia"/>
        </w:rPr>
        <w:t>次</w:t>
      </w:r>
      <w:bookmarkEnd w:id="10"/>
      <w:bookmarkEnd w:id="11"/>
      <w:bookmarkEnd w:id="12"/>
    </w:p>
    <w:p w14:paraId="3F1B3D1C">
      <w:pPr>
        <w:pStyle w:val="19"/>
        <w:tabs>
          <w:tab w:val="right" w:leader="dot" w:pos="9354"/>
        </w:tabs>
      </w:pPr>
      <w:r>
        <w:rPr>
          <w:rFonts w:hint="eastAsia"/>
        </w:rPr>
        <w:fldChar w:fldCharType="begin"/>
      </w:r>
      <w:r>
        <w:rPr>
          <w:rFonts w:hint="eastAsia"/>
        </w:rPr>
        <w:instrText xml:space="preserve">TOC \o "1-2" \h \u </w:instrText>
      </w:r>
      <w:r>
        <w:rPr>
          <w:rFonts w:hint="eastAsia"/>
        </w:rPr>
        <w:fldChar w:fldCharType="separate"/>
      </w:r>
      <w:r>
        <w:fldChar w:fldCharType="begin"/>
      </w:r>
      <w:r>
        <w:instrText xml:space="preserve"> HYPERLINK \l "_Toc4028" </w:instrText>
      </w:r>
      <w:r>
        <w:fldChar w:fldCharType="separate"/>
      </w:r>
      <w:r>
        <w:rPr>
          <w:rFonts w:hint="eastAsia"/>
        </w:rPr>
        <w:t>前</w:t>
      </w:r>
      <w:r>
        <w:t>言</w:t>
      </w:r>
      <w:r>
        <w:tab/>
      </w:r>
      <w:r>
        <w:fldChar w:fldCharType="begin"/>
      </w:r>
      <w:r>
        <w:instrText xml:space="preserve"> PAGEREF _Toc4028 \h </w:instrText>
      </w:r>
      <w:r>
        <w:fldChar w:fldCharType="separate"/>
      </w:r>
      <w:r>
        <w:t>II</w:t>
      </w:r>
      <w:r>
        <w:fldChar w:fldCharType="end"/>
      </w:r>
      <w:r>
        <w:fldChar w:fldCharType="end"/>
      </w:r>
    </w:p>
    <w:p w14:paraId="0DE03C2B">
      <w:pPr>
        <w:pStyle w:val="19"/>
        <w:tabs>
          <w:tab w:val="right" w:leader="dot" w:pos="9354"/>
        </w:tabs>
      </w:pPr>
      <w:r>
        <w:fldChar w:fldCharType="begin"/>
      </w:r>
      <w:r>
        <w:instrText xml:space="preserve"> HYPERLINK \l "_Toc13882" </w:instrText>
      </w:r>
      <w:r>
        <w:fldChar w:fldCharType="separate"/>
      </w:r>
      <w:r>
        <w:rPr>
          <w:rFonts w:hint="eastAsia"/>
        </w:rPr>
        <w:t>1 范围</w:t>
      </w:r>
      <w:r>
        <w:rPr>
          <w:rFonts w:hint="eastAsia"/>
        </w:rPr>
        <w:tab/>
      </w:r>
      <w:r>
        <w:rPr>
          <w:rFonts w:hint="eastAsia"/>
        </w:rPr>
        <w:fldChar w:fldCharType="begin"/>
      </w:r>
      <w:r>
        <w:rPr>
          <w:rFonts w:hint="eastAsia"/>
        </w:rPr>
        <w:instrText xml:space="preserve"> PAGEREF _Toc13882 \h </w:instrText>
      </w:r>
      <w:r>
        <w:rPr>
          <w:rFonts w:hint="eastAsia"/>
        </w:rPr>
        <w:fldChar w:fldCharType="separate"/>
      </w:r>
      <w:r>
        <w:rPr>
          <w:rFonts w:hint="eastAsia"/>
        </w:rPr>
        <w:t>1</w:t>
      </w:r>
      <w:r>
        <w:rPr>
          <w:rFonts w:hint="eastAsia"/>
        </w:rPr>
        <w:fldChar w:fldCharType="end"/>
      </w:r>
      <w:r>
        <w:rPr>
          <w:rFonts w:hint="eastAsia"/>
        </w:rPr>
        <w:fldChar w:fldCharType="end"/>
      </w:r>
    </w:p>
    <w:p w14:paraId="7BFCA736">
      <w:pPr>
        <w:pStyle w:val="19"/>
        <w:tabs>
          <w:tab w:val="right" w:leader="dot" w:pos="9354"/>
        </w:tabs>
      </w:pPr>
      <w:r>
        <w:fldChar w:fldCharType="begin"/>
      </w:r>
      <w:r>
        <w:instrText xml:space="preserve"> HYPERLINK \l "_Toc3617" </w:instrText>
      </w:r>
      <w:r>
        <w:fldChar w:fldCharType="separate"/>
      </w:r>
      <w:r>
        <w:rPr>
          <w:rFonts w:hint="eastAsia"/>
        </w:rPr>
        <w:t>2 规范性引用文件</w:t>
      </w:r>
      <w:r>
        <w:rPr>
          <w:rFonts w:hint="eastAsia"/>
        </w:rPr>
        <w:tab/>
      </w:r>
      <w:r>
        <w:rPr>
          <w:rFonts w:hint="eastAsia"/>
        </w:rPr>
        <w:fldChar w:fldCharType="begin"/>
      </w:r>
      <w:r>
        <w:rPr>
          <w:rFonts w:hint="eastAsia"/>
        </w:rPr>
        <w:instrText xml:space="preserve"> PAGEREF _Toc3617 \h </w:instrText>
      </w:r>
      <w:r>
        <w:rPr>
          <w:rFonts w:hint="eastAsia"/>
        </w:rPr>
        <w:fldChar w:fldCharType="separate"/>
      </w:r>
      <w:r>
        <w:rPr>
          <w:rFonts w:hint="eastAsia"/>
        </w:rPr>
        <w:t>1</w:t>
      </w:r>
      <w:r>
        <w:rPr>
          <w:rFonts w:hint="eastAsia"/>
        </w:rPr>
        <w:fldChar w:fldCharType="end"/>
      </w:r>
      <w:r>
        <w:rPr>
          <w:rFonts w:hint="eastAsia"/>
        </w:rPr>
        <w:fldChar w:fldCharType="end"/>
      </w:r>
    </w:p>
    <w:p w14:paraId="78AE7233">
      <w:pPr>
        <w:pStyle w:val="19"/>
        <w:tabs>
          <w:tab w:val="right" w:leader="dot" w:pos="9354"/>
        </w:tabs>
      </w:pPr>
      <w:r>
        <w:fldChar w:fldCharType="begin"/>
      </w:r>
      <w:r>
        <w:instrText xml:space="preserve"> HYPERLINK \l "_Toc17980" </w:instrText>
      </w:r>
      <w:r>
        <w:fldChar w:fldCharType="separate"/>
      </w:r>
      <w:r>
        <w:rPr>
          <w:rFonts w:hint="eastAsia"/>
        </w:rPr>
        <w:t>3 术语和定义</w:t>
      </w:r>
      <w:r>
        <w:rPr>
          <w:rFonts w:hint="eastAsia"/>
        </w:rPr>
        <w:tab/>
      </w:r>
      <w:r>
        <w:rPr>
          <w:rFonts w:hint="eastAsia"/>
        </w:rPr>
        <w:fldChar w:fldCharType="begin"/>
      </w:r>
      <w:r>
        <w:rPr>
          <w:rFonts w:hint="eastAsia"/>
        </w:rPr>
        <w:instrText xml:space="preserve"> PAGEREF _Toc17980 \h </w:instrText>
      </w:r>
      <w:r>
        <w:rPr>
          <w:rFonts w:hint="eastAsia"/>
        </w:rPr>
        <w:fldChar w:fldCharType="separate"/>
      </w:r>
      <w:r>
        <w:rPr>
          <w:rFonts w:hint="eastAsia"/>
        </w:rPr>
        <w:t>1</w:t>
      </w:r>
      <w:r>
        <w:rPr>
          <w:rFonts w:hint="eastAsia"/>
        </w:rPr>
        <w:fldChar w:fldCharType="end"/>
      </w:r>
      <w:r>
        <w:rPr>
          <w:rFonts w:hint="eastAsia"/>
        </w:rPr>
        <w:fldChar w:fldCharType="end"/>
      </w:r>
    </w:p>
    <w:p w14:paraId="3E716923">
      <w:pPr>
        <w:pStyle w:val="19"/>
        <w:tabs>
          <w:tab w:val="right" w:leader="dot" w:pos="9354"/>
        </w:tabs>
        <w:rPr>
          <w:rFonts w:hint="eastAsia" w:eastAsia="宋体"/>
          <w:lang w:val="en-US" w:eastAsia="zh-CN"/>
        </w:rPr>
      </w:pPr>
      <w:r>
        <w:fldChar w:fldCharType="begin"/>
      </w:r>
      <w:r>
        <w:instrText xml:space="preserve"> HYPERLINK \l "_Toc14505" </w:instrText>
      </w:r>
      <w:r>
        <w:fldChar w:fldCharType="separate"/>
      </w:r>
      <w:r>
        <w:rPr>
          <w:rFonts w:hint="eastAsia"/>
        </w:rPr>
        <w:t>4 机构</w:t>
      </w:r>
      <w:r>
        <w:rPr>
          <w:rFonts w:hint="eastAsia"/>
          <w:lang w:eastAsia="zh-CN"/>
        </w:rPr>
        <w:t>职责</w:t>
      </w:r>
      <w:r>
        <w:rPr>
          <w:rFonts w:hint="eastAsia"/>
        </w:rPr>
        <w:tab/>
      </w:r>
      <w:r>
        <w:rPr>
          <w:rFonts w:hint="eastAsia"/>
        </w:rPr>
        <w:fldChar w:fldCharType="end"/>
      </w:r>
      <w:r>
        <w:rPr>
          <w:rFonts w:hint="eastAsia"/>
          <w:lang w:val="en-US" w:eastAsia="zh-CN"/>
        </w:rPr>
        <w:t>1</w:t>
      </w:r>
    </w:p>
    <w:p w14:paraId="57C77766">
      <w:pPr>
        <w:pStyle w:val="19"/>
        <w:tabs>
          <w:tab w:val="right" w:leader="dot" w:pos="9354"/>
        </w:tabs>
      </w:pPr>
      <w:r>
        <w:fldChar w:fldCharType="begin"/>
      </w:r>
      <w:r>
        <w:instrText xml:space="preserve"> HYPERLINK \l "_Toc17050" </w:instrText>
      </w:r>
      <w:r>
        <w:fldChar w:fldCharType="separate"/>
      </w:r>
      <w:r>
        <w:rPr>
          <w:rFonts w:hint="eastAsia"/>
        </w:rPr>
        <w:t xml:space="preserve">5 </w:t>
      </w:r>
      <w:r>
        <w:rPr>
          <w:rFonts w:hint="eastAsia"/>
          <w:lang w:eastAsia="zh-CN"/>
        </w:rPr>
        <w:t>保障范围</w:t>
      </w:r>
      <w:r>
        <w:rPr>
          <w:rFonts w:hint="eastAsia"/>
        </w:rPr>
        <w:tab/>
      </w:r>
      <w:r>
        <w:rPr>
          <w:rFonts w:hint="eastAsia"/>
          <w:lang w:val="en-US" w:eastAsia="zh-CN"/>
        </w:rPr>
        <w:t>2</w:t>
      </w:r>
      <w:r>
        <w:fldChar w:fldCharType="end"/>
      </w:r>
    </w:p>
    <w:p w14:paraId="3ACE32B8">
      <w:pPr>
        <w:pStyle w:val="19"/>
        <w:tabs>
          <w:tab w:val="right" w:leader="dot" w:pos="9354"/>
        </w:tabs>
      </w:pPr>
      <w:r>
        <w:fldChar w:fldCharType="begin"/>
      </w:r>
      <w:r>
        <w:instrText xml:space="preserve"> HYPERLINK \l "_Toc11473" </w:instrText>
      </w:r>
      <w:r>
        <w:fldChar w:fldCharType="separate"/>
      </w:r>
      <w:r>
        <w:rPr>
          <w:rFonts w:hint="eastAsia"/>
        </w:rPr>
        <w:t xml:space="preserve">6 </w:t>
      </w:r>
      <w:r>
        <w:rPr>
          <w:rFonts w:hint="eastAsia"/>
          <w:lang w:eastAsia="zh-CN"/>
        </w:rPr>
        <w:t>保障形式</w:t>
      </w:r>
      <w:r>
        <w:rPr>
          <w:rFonts w:hint="eastAsia"/>
        </w:rPr>
        <w:tab/>
      </w:r>
      <w:r>
        <w:rPr>
          <w:rFonts w:hint="eastAsia"/>
          <w:lang w:val="en-US" w:eastAsia="zh-CN"/>
        </w:rPr>
        <w:t>2</w:t>
      </w:r>
      <w:r>
        <w:fldChar w:fldCharType="end"/>
      </w:r>
    </w:p>
    <w:p w14:paraId="1FB4C2ED">
      <w:pPr>
        <w:pStyle w:val="19"/>
        <w:tabs>
          <w:tab w:val="right" w:leader="dot" w:pos="9354"/>
        </w:tabs>
      </w:pPr>
      <w:r>
        <w:fldChar w:fldCharType="begin"/>
      </w:r>
      <w:r>
        <w:instrText xml:space="preserve"> HYPERLINK \l "_Toc4860" </w:instrText>
      </w:r>
      <w:r>
        <w:fldChar w:fldCharType="separate"/>
      </w:r>
      <w:r>
        <w:rPr>
          <w:rFonts w:hint="eastAsia"/>
        </w:rPr>
        <w:t xml:space="preserve">7 </w:t>
      </w:r>
      <w:r>
        <w:rPr>
          <w:rFonts w:hint="eastAsia"/>
          <w:lang w:eastAsia="zh-CN"/>
        </w:rPr>
        <w:t>保障要求</w:t>
      </w:r>
      <w:r>
        <w:rPr>
          <w:rFonts w:hint="eastAsia"/>
        </w:rPr>
        <w:tab/>
      </w:r>
      <w:r>
        <w:rPr>
          <w:rFonts w:hint="eastAsia"/>
          <w:lang w:val="en-US" w:eastAsia="zh-CN"/>
        </w:rPr>
        <w:t>3</w:t>
      </w:r>
      <w:r>
        <w:fldChar w:fldCharType="end"/>
      </w:r>
    </w:p>
    <w:p w14:paraId="215F8E11">
      <w:pPr>
        <w:pStyle w:val="19"/>
        <w:tabs>
          <w:tab w:val="right" w:leader="dot" w:pos="9354"/>
        </w:tabs>
      </w:pPr>
      <w:r>
        <w:fldChar w:fldCharType="begin"/>
      </w:r>
      <w:r>
        <w:instrText xml:space="preserve"> HYPERLINK \l "_Toc6726" </w:instrText>
      </w:r>
      <w:r>
        <w:fldChar w:fldCharType="separate"/>
      </w:r>
      <w:r>
        <w:rPr>
          <w:rFonts w:hint="eastAsia"/>
          <w:lang w:val="en-US" w:eastAsia="zh-CN"/>
        </w:rPr>
        <w:t>8 持续改进</w:t>
      </w:r>
      <w:r>
        <w:rPr>
          <w:rFonts w:hint="eastAsia"/>
        </w:rPr>
        <w:tab/>
      </w:r>
      <w:r>
        <w:rPr>
          <w:rFonts w:hint="eastAsia"/>
          <w:lang w:val="en-US" w:eastAsia="zh-CN"/>
        </w:rPr>
        <w:t>4</w:t>
      </w:r>
      <w:r>
        <w:rPr>
          <w:rFonts w:hint="eastAsia"/>
        </w:rPr>
        <w:fldChar w:fldCharType="end"/>
      </w:r>
    </w:p>
    <w:p w14:paraId="19BFCBA3">
      <w:pPr>
        <w:pStyle w:val="19"/>
        <w:tabs>
          <w:tab w:val="right" w:leader="dot" w:pos="9354"/>
        </w:tabs>
        <w:rPr>
          <w:rFonts w:hint="default"/>
          <w:lang w:val="en-US"/>
        </w:rPr>
      </w:pPr>
      <w:r>
        <w:rPr>
          <w:rFonts w:hint="eastAsia"/>
        </w:rPr>
        <w:fldChar w:fldCharType="end"/>
      </w:r>
      <w:r>
        <w:rPr>
          <w:rFonts w:hint="eastAsia" w:ascii="宋体" w:hAnsi="宋体" w:eastAsia="宋体" w:cs="宋体"/>
          <w:i w:val="0"/>
          <w:spacing w:val="0"/>
          <w:w w:val="100"/>
          <w:lang w:val="en-US" w:eastAsia="zh-CN"/>
        </w:rPr>
        <w:t>附录</w:t>
      </w:r>
      <w:r>
        <w:rPr>
          <w:rFonts w:hint="eastAsia" w:ascii="黑体" w:hAnsi="Times New Roman" w:eastAsia="黑体" w:cs="Times New Roman"/>
          <w:bCs w:val="0"/>
          <w:i w:val="0"/>
          <w:iCs w:val="0"/>
          <w:caps w:val="0"/>
          <w:strike w:val="0"/>
          <w:dstrike w:val="0"/>
          <w:vanish w:val="0"/>
          <w:spacing w:val="0"/>
          <w:kern w:val="0"/>
          <w:position w:val="0"/>
          <w:sz w:val="21"/>
          <w:szCs w:val="21"/>
          <w:vertAlign w:val="baseline"/>
          <w:lang w:val="en-US" w:eastAsia="zh-CN" w:bidi="ar-SA"/>
        </w:rPr>
        <w:t xml:space="preserve">A   </w:t>
      </w:r>
      <w:r>
        <w:rPr>
          <w:rFonts w:hint="eastAsia"/>
          <w:lang w:val="en-US" w:eastAsia="zh-CN"/>
        </w:rPr>
        <w:t xml:space="preserve">（资料性附录） </w:t>
      </w:r>
      <w:r>
        <w:rPr>
          <w:rFonts w:hint="eastAsia"/>
          <w:color w:val="000000"/>
          <w:lang w:eastAsia="zh-CN"/>
        </w:rPr>
        <w:t>跨区域公务出行一体化保障申请表</w:t>
      </w:r>
      <w:r>
        <w:rPr>
          <w:rFonts w:hint="eastAsia"/>
          <w:color w:val="000000"/>
          <w:lang w:val="en-US" w:eastAsia="zh-CN"/>
        </w:rPr>
        <w:t>..........</w:t>
      </w:r>
      <w:r>
        <w:rPr>
          <w:rFonts w:hint="eastAsia"/>
          <w:lang w:val="en-US" w:eastAsia="zh-CN"/>
        </w:rPr>
        <w:t>.........................5</w:t>
      </w:r>
    </w:p>
    <w:p w14:paraId="64574254">
      <w:pPr>
        <w:pStyle w:val="19"/>
        <w:tabs>
          <w:tab w:val="right" w:leader="dot" w:pos="9355"/>
        </w:tabs>
        <w:rPr>
          <w:spacing w:val="0"/>
        </w:rPr>
      </w:pPr>
      <w:r>
        <w:rPr>
          <w:rFonts w:hint="eastAsia"/>
          <w:spacing w:val="0"/>
          <w:lang w:eastAsia="zh-CN"/>
        </w:rPr>
        <w:fldChar w:fldCharType="begin"/>
      </w:r>
      <w:r>
        <w:rPr>
          <w:rFonts w:hint="eastAsia"/>
          <w:spacing w:val="0"/>
          <w:lang w:eastAsia="zh-CN"/>
        </w:rPr>
        <w:instrText xml:space="preserve"> HYPERLINK \l _Toc1297 </w:instrText>
      </w:r>
      <w:r>
        <w:rPr>
          <w:rFonts w:hint="eastAsia"/>
          <w:spacing w:val="0"/>
          <w:lang w:eastAsia="zh-CN"/>
        </w:rPr>
        <w:fldChar w:fldCharType="separate"/>
      </w:r>
      <w:r>
        <w:rPr>
          <w:rFonts w:hint="eastAsia"/>
          <w:spacing w:val="0"/>
        </w:rPr>
        <w:t>参</w:t>
      </w:r>
      <w:r>
        <w:rPr>
          <w:rFonts w:hAnsi="黑体"/>
          <w:spacing w:val="0"/>
        </w:rPr>
        <w:t> </w:t>
      </w:r>
      <w:r>
        <w:rPr>
          <w:rFonts w:hint="eastAsia"/>
          <w:spacing w:val="0"/>
        </w:rPr>
        <w:t>考</w:t>
      </w:r>
      <w:r>
        <w:rPr>
          <w:rFonts w:hAnsi="黑体"/>
          <w:spacing w:val="0"/>
        </w:rPr>
        <w:t> </w:t>
      </w:r>
      <w:r>
        <w:rPr>
          <w:rFonts w:hint="eastAsia"/>
          <w:spacing w:val="0"/>
        </w:rPr>
        <w:t>文</w:t>
      </w:r>
      <w:r>
        <w:rPr>
          <w:rFonts w:hAnsi="黑体"/>
          <w:spacing w:val="0"/>
        </w:rPr>
        <w:t> </w:t>
      </w:r>
      <w:r>
        <w:rPr>
          <w:rFonts w:hint="eastAsia"/>
          <w:spacing w:val="0"/>
        </w:rPr>
        <w:t>献</w:t>
      </w:r>
      <w:r>
        <w:rPr>
          <w:rFonts w:hint="eastAsia"/>
          <w:spacing w:val="0"/>
          <w:lang w:val="en-US" w:eastAsia="zh-CN"/>
        </w:rPr>
        <w:t>..........................................................................6</w:t>
      </w:r>
      <w:r>
        <w:rPr>
          <w:rFonts w:hint="eastAsia"/>
          <w:spacing w:val="0"/>
          <w:lang w:eastAsia="zh-CN"/>
        </w:rPr>
        <w:fldChar w:fldCharType="end"/>
      </w:r>
    </w:p>
    <w:p w14:paraId="52B7F59B"/>
    <w:p w14:paraId="0CF16976">
      <w:pPr>
        <w:pStyle w:val="89"/>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p w14:paraId="629D8E49"/>
    <w:p w14:paraId="5B405F75">
      <w:pPr>
        <w:pStyle w:val="89"/>
        <w:spacing w:after="468"/>
      </w:pPr>
      <w:bookmarkStart w:id="15" w:name="_Toc4028"/>
      <w:r>
        <w:rPr>
          <w:spacing w:val="320"/>
        </w:rPr>
        <w:t>前</w:t>
      </w:r>
      <w:r>
        <w:t>言</w:t>
      </w:r>
      <w:bookmarkEnd w:id="15"/>
    </w:p>
    <w:p w14:paraId="5A92DFC5">
      <w:pPr>
        <w:pStyle w:val="56"/>
        <w:ind w:firstLine="420"/>
      </w:pPr>
      <w:r>
        <w:rPr>
          <w:rFonts w:hint="eastAsia"/>
        </w:rPr>
        <w:t>本文件按照GB/T 1.1—2020《标准化工作导则  第1部分：标准化文件的结构和起草规则》的规定起草。</w:t>
      </w:r>
    </w:p>
    <w:p w14:paraId="7CD61D20">
      <w:pPr>
        <w:pStyle w:val="56"/>
        <w:ind w:firstLine="420"/>
      </w:pPr>
      <w:r>
        <w:rPr>
          <w:rFonts w:hint="eastAsia"/>
        </w:rPr>
        <w:t>本文件由常州市机关事务管理局提出并归口。</w:t>
      </w:r>
    </w:p>
    <w:p w14:paraId="093AA9D9">
      <w:pPr>
        <w:pStyle w:val="56"/>
        <w:ind w:firstLine="420"/>
        <w:rPr>
          <w:rFonts w:hint="eastAsia" w:eastAsia="宋体"/>
          <w:lang w:val="en-US" w:eastAsia="zh-CN"/>
        </w:rPr>
      </w:pPr>
      <w:r>
        <w:rPr>
          <w:rFonts w:hint="eastAsia"/>
        </w:rPr>
        <w:t>本文件起草单位：常州市机关事务管理局。</w:t>
      </w:r>
    </w:p>
    <w:p w14:paraId="45F50FE8">
      <w:pPr>
        <w:pStyle w:val="56"/>
        <w:ind w:firstLine="420"/>
      </w:pPr>
      <w:r>
        <w:rPr>
          <w:rFonts w:hint="eastAsia"/>
        </w:rPr>
        <w:t>本文件主要起草人：</w:t>
      </w:r>
      <w:r>
        <w:rPr>
          <w:rFonts w:hint="eastAsia"/>
          <w:lang w:eastAsia="zh-CN"/>
        </w:rPr>
        <w:t>薛卫平、张彤光</w:t>
      </w:r>
      <w:r>
        <w:rPr>
          <w:rFonts w:hint="eastAsia"/>
        </w:rPr>
        <w:t>、</w:t>
      </w:r>
      <w:r>
        <w:rPr>
          <w:rFonts w:hint="eastAsia"/>
          <w:lang w:eastAsia="zh-CN"/>
        </w:rPr>
        <w:t>卿洪柏</w:t>
      </w:r>
      <w:r>
        <w:rPr>
          <w:rFonts w:hint="eastAsia"/>
        </w:rPr>
        <w:t>、</w:t>
      </w:r>
      <w:r>
        <w:rPr>
          <w:rFonts w:hint="eastAsia"/>
          <w:lang w:eastAsia="zh-CN"/>
        </w:rPr>
        <w:t>俞维、韩奕、刁菊霞、黄育波、杨程、何华、姚志云</w:t>
      </w:r>
      <w:r>
        <w:rPr>
          <w:rFonts w:hint="eastAsia"/>
        </w:rPr>
        <w:t>。</w:t>
      </w:r>
    </w:p>
    <w:p w14:paraId="3BF85E9F">
      <w:pPr>
        <w:pStyle w:val="56"/>
        <w:ind w:firstLine="420"/>
      </w:pPr>
    </w:p>
    <w:p w14:paraId="6DECB4A3">
      <w:pPr>
        <w:pStyle w:val="56"/>
        <w:ind w:firstLine="420"/>
        <w:sectPr>
          <w:footerReference r:id="rId12" w:type="default"/>
          <w:pgSz w:w="11906" w:h="16838"/>
          <w:pgMar w:top="1928" w:right="1134" w:bottom="1134" w:left="1134" w:header="1418" w:footer="1134" w:gutter="284"/>
          <w:pgNumType w:fmt="upperRoman"/>
          <w:cols w:space="425" w:num="1"/>
          <w:formProt w:val="0"/>
          <w:docGrid w:type="lines" w:linePitch="312" w:charSpace="0"/>
        </w:sectPr>
      </w:pPr>
    </w:p>
    <w:bookmarkEnd w:id="13"/>
    <w:p w14:paraId="71677D41">
      <w:pPr>
        <w:spacing w:line="20" w:lineRule="exact"/>
        <w:jc w:val="center"/>
        <w:rPr>
          <w:rFonts w:ascii="黑体" w:hAnsi="黑体" w:eastAsia="黑体"/>
          <w:sz w:val="32"/>
          <w:szCs w:val="32"/>
        </w:rPr>
      </w:pPr>
      <w:bookmarkStart w:id="16" w:name="BookMark4"/>
    </w:p>
    <w:p w14:paraId="24FA3A52">
      <w:pPr>
        <w:spacing w:line="20" w:lineRule="exact"/>
        <w:jc w:val="center"/>
        <w:rPr>
          <w:rFonts w:ascii="黑体" w:hAnsi="黑体" w:eastAsia="黑体"/>
          <w:sz w:val="32"/>
          <w:szCs w:val="32"/>
        </w:rPr>
      </w:pPr>
    </w:p>
    <w:sdt>
      <w:sdtPr>
        <w:tag w:val="NEW_STAND_NAME"/>
        <w:id w:val="595910757"/>
        <w:lock w:val="sdtLocked"/>
        <w:placeholder>
          <w:docPart w:val="5666F49FE7CC41BBBE19ED9ED4CCF88A"/>
        </w:placeholder>
      </w:sdtPr>
      <w:sdtContent>
        <w:p w14:paraId="358AE8D5">
          <w:pPr>
            <w:pStyle w:val="177"/>
            <w:spacing w:before="686" w:beforeLines="220" w:after="686" w:afterLines="220"/>
          </w:pPr>
          <w:bookmarkStart w:id="17" w:name="NEW_STAND_NAME"/>
          <w:r>
            <w:rPr>
              <w:rFonts w:hint="eastAsia" w:ascii="宋体" w:hAnsi="宋体"/>
              <w:szCs w:val="21"/>
            </w:rPr>
            <w:t>跨区域公务出行一体化保障管理规范</w:t>
          </w:r>
        </w:p>
      </w:sdtContent>
    </w:sdt>
    <w:bookmarkEnd w:id="17"/>
    <w:p w14:paraId="690203CA">
      <w:pPr>
        <w:pStyle w:val="104"/>
        <w:spacing w:before="312" w:after="312"/>
      </w:pPr>
      <w:bookmarkStart w:id="18" w:name="_Toc24884218"/>
      <w:bookmarkStart w:id="19" w:name="_Toc13882"/>
      <w:bookmarkStart w:id="20" w:name="_Toc26986771"/>
      <w:bookmarkStart w:id="21" w:name="_Toc17233333"/>
      <w:bookmarkStart w:id="22" w:name="_Toc97191423"/>
      <w:bookmarkStart w:id="23" w:name="_Toc24884211"/>
      <w:bookmarkStart w:id="24" w:name="_Toc17233325"/>
      <w:bookmarkStart w:id="25" w:name="_Toc26986530"/>
      <w:bookmarkStart w:id="26" w:name="_Toc26648465"/>
      <w:bookmarkStart w:id="27" w:name="_Toc26718930"/>
      <w:r>
        <w:rPr>
          <w:rFonts w:hint="eastAsia"/>
        </w:rPr>
        <w:t>范围</w:t>
      </w:r>
      <w:bookmarkEnd w:id="18"/>
      <w:bookmarkEnd w:id="19"/>
      <w:bookmarkEnd w:id="20"/>
      <w:bookmarkEnd w:id="21"/>
      <w:bookmarkEnd w:id="22"/>
      <w:bookmarkEnd w:id="23"/>
      <w:bookmarkEnd w:id="24"/>
      <w:bookmarkEnd w:id="25"/>
      <w:bookmarkEnd w:id="26"/>
      <w:bookmarkEnd w:id="27"/>
    </w:p>
    <w:p w14:paraId="043B75E6">
      <w:pPr>
        <w:pStyle w:val="231"/>
        <w:rPr>
          <w:rFonts w:hint="eastAsia"/>
          <w:color w:val="auto"/>
        </w:rPr>
      </w:pPr>
      <w:bookmarkStart w:id="28" w:name="_Toc17233334"/>
      <w:bookmarkStart w:id="29" w:name="_Toc17233326"/>
      <w:bookmarkStart w:id="30" w:name="_Toc24884212"/>
      <w:bookmarkStart w:id="31" w:name="_Toc26648466"/>
      <w:bookmarkStart w:id="32" w:name="_Toc24884219"/>
      <w:bookmarkStart w:id="33" w:name="_Toc97191424"/>
      <w:bookmarkStart w:id="34" w:name="_Toc26986772"/>
      <w:bookmarkStart w:id="35" w:name="_Toc26986531"/>
      <w:bookmarkStart w:id="36" w:name="_Toc3617"/>
      <w:bookmarkStart w:id="37" w:name="_Toc26718931"/>
      <w:r>
        <w:rPr>
          <w:rFonts w:hint="eastAsia"/>
          <w:color w:val="auto"/>
        </w:rPr>
        <w:t>本文件规定了跨区域公务出行一体化保障管理</w:t>
      </w:r>
      <w:r>
        <w:rPr>
          <w:rFonts w:hint="eastAsia"/>
          <w:color w:val="auto"/>
          <w:lang w:eastAsia="zh-CN"/>
        </w:rPr>
        <w:t>的术语和定义、机构</w:t>
      </w:r>
      <w:r>
        <w:rPr>
          <w:rFonts w:hint="eastAsia"/>
          <w:color w:val="auto"/>
        </w:rPr>
        <w:t>职责、保障范围、</w:t>
      </w:r>
      <w:r>
        <w:rPr>
          <w:rFonts w:hint="eastAsia"/>
          <w:color w:val="auto"/>
          <w:lang w:eastAsia="zh-CN"/>
        </w:rPr>
        <w:t>保障形式、保障要求和持续改进等内容</w:t>
      </w:r>
      <w:r>
        <w:rPr>
          <w:rFonts w:hint="eastAsia"/>
          <w:color w:val="auto"/>
        </w:rPr>
        <w:t>。</w:t>
      </w:r>
    </w:p>
    <w:p w14:paraId="5721927C">
      <w:pPr>
        <w:pStyle w:val="231"/>
        <w:rPr>
          <w:rFonts w:hint="eastAsia" w:eastAsia="宋体"/>
          <w:lang w:eastAsia="zh-CN"/>
        </w:rPr>
      </w:pPr>
      <w:r>
        <w:rPr>
          <w:rFonts w:hint="eastAsia"/>
          <w:highlight w:val="none"/>
        </w:rPr>
        <w:t>本文件适用于</w:t>
      </w:r>
      <w:r>
        <w:rPr>
          <w:rFonts w:hint="eastAsia"/>
          <w:highlight w:val="none"/>
          <w:lang w:eastAsia="zh-CN"/>
        </w:rPr>
        <w:t>全省党政机关跨区域公务出行的保障</w:t>
      </w:r>
      <w:r>
        <w:rPr>
          <w:rFonts w:hint="eastAsia"/>
          <w:highlight w:val="none"/>
        </w:rPr>
        <w:t>管理。</w:t>
      </w:r>
    </w:p>
    <w:p w14:paraId="658604CE">
      <w:pPr>
        <w:pStyle w:val="104"/>
        <w:spacing w:before="312" w:after="312"/>
      </w:pPr>
      <w:r>
        <w:rPr>
          <w:rFonts w:hint="eastAsia"/>
        </w:rPr>
        <w:t>规范性引用文件</w:t>
      </w:r>
      <w:bookmarkEnd w:id="28"/>
      <w:bookmarkEnd w:id="29"/>
      <w:bookmarkEnd w:id="30"/>
      <w:bookmarkEnd w:id="31"/>
      <w:bookmarkEnd w:id="32"/>
      <w:bookmarkEnd w:id="33"/>
      <w:bookmarkEnd w:id="34"/>
      <w:bookmarkEnd w:id="35"/>
      <w:bookmarkEnd w:id="36"/>
      <w:bookmarkEnd w:id="37"/>
    </w:p>
    <w:p w14:paraId="40F61249">
      <w:pPr>
        <w:pStyle w:val="231"/>
        <w:rPr>
          <w:rFonts w:hint="eastAsia"/>
          <w:color w:val="auto"/>
          <w:sz w:val="21"/>
          <w:szCs w:val="21"/>
        </w:rPr>
      </w:pPr>
      <w:bookmarkStart w:id="38" w:name="_Toc97191425"/>
      <w:bookmarkStart w:id="39" w:name="_Toc17980"/>
      <w:r>
        <w:rPr>
          <w:rFonts w:hint="eastAsia"/>
          <w:color w:val="auto"/>
          <w:sz w:val="21"/>
          <w:szCs w:val="21"/>
          <w:lang w:eastAsia="zh-CN"/>
        </w:rPr>
        <w:t>下列文件中的内容通过文中的规范性引用而构成文件必不可少的条款。其中，注日期的引用文件，仅该日期对应的版本适用于本文件；不注日期的引用文件，</w:t>
      </w:r>
      <w:r>
        <w:rPr>
          <w:rFonts w:hint="eastAsia"/>
          <w:color w:val="auto"/>
          <w:sz w:val="21"/>
          <w:szCs w:val="21"/>
        </w:rPr>
        <w:t>其最新版本（包括所有的修改单）适用于本文件。</w:t>
      </w:r>
    </w:p>
    <w:p w14:paraId="38991E67">
      <w:pPr>
        <w:pStyle w:val="231"/>
        <w:rPr>
          <w:rFonts w:hint="eastAsia" w:eastAsia="宋体"/>
          <w:color w:val="C00000"/>
          <w:lang w:eastAsia="zh-CN"/>
        </w:rPr>
      </w:pPr>
      <w:r>
        <w:rPr>
          <w:rFonts w:hint="eastAsia" w:ascii="黑体" w:hAnsi="黑体" w:eastAsia="黑体" w:cs="黑体"/>
          <w:color w:val="auto"/>
        </w:rPr>
        <w:t>GB/T 29911</w:t>
      </w:r>
      <w:r>
        <w:rPr>
          <w:rFonts w:hint="eastAsia"/>
          <w:color w:val="auto"/>
          <w:lang w:val="en-US" w:eastAsia="zh-CN"/>
        </w:rPr>
        <w:t xml:space="preserve">  </w:t>
      </w:r>
      <w:r>
        <w:rPr>
          <w:rFonts w:hint="eastAsia"/>
          <w:color w:val="auto"/>
        </w:rPr>
        <w:t>汽车租赁服务规范</w:t>
      </w:r>
    </w:p>
    <w:p w14:paraId="75E07DFB">
      <w:pPr>
        <w:pStyle w:val="231"/>
        <w:rPr>
          <w:rFonts w:hint="eastAsia"/>
        </w:rPr>
      </w:pPr>
      <w:r>
        <w:rPr>
          <w:rFonts w:hint="eastAsia" w:ascii="黑体" w:hAnsi="黑体" w:eastAsia="黑体" w:cs="黑体"/>
        </w:rPr>
        <w:t>GB/T 41568</w:t>
      </w:r>
      <w:r>
        <w:rPr>
          <w:rFonts w:hint="eastAsia"/>
        </w:rPr>
        <w:t xml:space="preserve"> </w:t>
      </w:r>
      <w:r>
        <w:rPr>
          <w:rFonts w:hint="eastAsia"/>
          <w:lang w:val="en-US" w:eastAsia="zh-CN"/>
        </w:rPr>
        <w:t xml:space="preserve"> </w:t>
      </w:r>
      <w:r>
        <w:rPr>
          <w:rFonts w:hint="eastAsia"/>
        </w:rPr>
        <w:t>机关事务管理 术语</w:t>
      </w:r>
    </w:p>
    <w:p w14:paraId="72F1B2F7">
      <w:pPr>
        <w:pStyle w:val="104"/>
        <w:spacing w:before="312" w:after="312"/>
      </w:pPr>
      <w:r>
        <w:rPr>
          <w:rFonts w:hint="eastAsia"/>
          <w:szCs w:val="21"/>
        </w:rPr>
        <w:t>术语和定义</w:t>
      </w:r>
      <w:bookmarkEnd w:id="38"/>
      <w:bookmarkEnd w:id="39"/>
    </w:p>
    <w:p w14:paraId="21833F0C">
      <w:pPr>
        <w:pStyle w:val="56"/>
        <w:ind w:firstLine="420"/>
      </w:pPr>
      <w:bookmarkStart w:id="40" w:name="_Toc26986532"/>
      <w:bookmarkEnd w:id="40"/>
      <w:r>
        <w:rPr>
          <w:rFonts w:hint="eastAsia"/>
        </w:rPr>
        <w:t>下列</w:t>
      </w:r>
      <w:r>
        <w:t>术语和定义适用于本文件</w:t>
      </w:r>
      <w:r>
        <w:rPr>
          <w:rFonts w:hint="eastAsia"/>
        </w:rPr>
        <w:t>。</w:t>
      </w:r>
    </w:p>
    <w:p w14:paraId="3E6CD77D">
      <w:pPr>
        <w:pStyle w:val="235"/>
        <w:numPr>
          <w:ilvl w:val="1"/>
          <w:numId w:val="0"/>
        </w:numPr>
        <w:spacing w:before="156" w:after="156"/>
      </w:pPr>
      <w:r>
        <w:rPr>
          <w:rFonts w:hint="eastAsia"/>
        </w:rPr>
        <w:t>3.1</w:t>
      </w:r>
    </w:p>
    <w:p w14:paraId="5ED91A10">
      <w:pPr>
        <w:pStyle w:val="235"/>
        <w:numPr>
          <w:ilvl w:val="0"/>
          <w:numId w:val="0"/>
        </w:numPr>
        <w:bidi w:val="0"/>
        <w:ind w:leftChars="0" w:firstLine="420" w:firstLineChars="200"/>
        <w:rPr>
          <w:rFonts w:hint="default"/>
          <w:lang w:val="en-US" w:eastAsia="zh-CN"/>
        </w:rPr>
      </w:pPr>
      <w:bookmarkStart w:id="41" w:name="_Toc129075328"/>
      <w:bookmarkEnd w:id="41"/>
      <w:r>
        <w:rPr>
          <w:rFonts w:hint="eastAsia"/>
          <w:lang w:eastAsia="zh-CN"/>
        </w:rPr>
        <w:t>跨区域公务出行</w:t>
      </w:r>
      <w:r>
        <w:rPr>
          <w:rFonts w:hint="eastAsia"/>
          <w:lang w:val="en-US" w:eastAsia="zh-CN"/>
        </w:rPr>
        <w:t xml:space="preserve"> Cross regional official travel</w:t>
      </w:r>
    </w:p>
    <w:p w14:paraId="0C56DEE8">
      <w:pPr>
        <w:pStyle w:val="231"/>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eastAsia"/>
          <w:color w:val="auto"/>
          <w:highlight w:val="none"/>
        </w:rPr>
      </w:pPr>
      <w:r>
        <w:rPr>
          <w:rFonts w:hint="eastAsia"/>
          <w:color w:val="auto"/>
          <w:highlight w:val="none"/>
          <w:lang w:eastAsia="zh-CN"/>
        </w:rPr>
        <w:t>党政机关工作人员在省域范围内跨市公务出行。</w:t>
      </w:r>
    </w:p>
    <w:p w14:paraId="2F323E05">
      <w:pPr>
        <w:pStyle w:val="235"/>
        <w:numPr>
          <w:ilvl w:val="1"/>
          <w:numId w:val="0"/>
        </w:numPr>
        <w:spacing w:before="156" w:after="156"/>
      </w:pPr>
      <w:r>
        <w:rPr>
          <w:rFonts w:hint="eastAsia"/>
        </w:rPr>
        <w:t>3.2</w:t>
      </w:r>
    </w:p>
    <w:p w14:paraId="08F72066">
      <w:pPr>
        <w:pStyle w:val="235"/>
        <w:numPr>
          <w:ilvl w:val="0"/>
          <w:numId w:val="0"/>
        </w:numPr>
        <w:bidi w:val="0"/>
        <w:ind w:leftChars="0" w:firstLine="420" w:firstLineChars="200"/>
        <w:rPr>
          <w:rFonts w:hint="default"/>
          <w:lang w:val="en-US" w:eastAsia="zh-CN"/>
        </w:rPr>
      </w:pPr>
      <w:r>
        <w:rPr>
          <w:rFonts w:hint="eastAsia"/>
          <w:lang w:eastAsia="zh-CN"/>
        </w:rPr>
        <w:t>跨区域公务出行保障一体化</w:t>
      </w:r>
      <w:r>
        <w:rPr>
          <w:rFonts w:hint="eastAsia"/>
          <w:lang w:val="en-US" w:eastAsia="zh-CN"/>
        </w:rPr>
        <w:t xml:space="preserve"> Integrated support for cross regional official travel</w:t>
      </w:r>
    </w:p>
    <w:p w14:paraId="38A458A0">
      <w:pPr>
        <w:pStyle w:val="231"/>
        <w:rPr>
          <w:rFonts w:hint="eastAsia" w:hAnsi="Times New Roman" w:eastAsia="宋体" w:cs="Times New Roman"/>
          <w:color w:val="auto"/>
          <w:highlight w:val="none"/>
          <w:lang w:eastAsia="zh-CN"/>
        </w:rPr>
      </w:pPr>
      <w:r>
        <w:rPr>
          <w:rFonts w:hint="eastAsia" w:hAnsi="Times New Roman" w:eastAsia="宋体" w:cs="Times New Roman"/>
          <w:color w:val="auto"/>
          <w:highlight w:val="none"/>
          <w:lang w:eastAsia="zh-CN"/>
        </w:rPr>
        <w:t>通过全省公务用车信息化管理平台，构建跨区域公务出行统一模式、统一平台、统一服务、统一结算、统一监管的一体化保障机制。</w:t>
      </w:r>
    </w:p>
    <w:p w14:paraId="49641209">
      <w:pPr>
        <w:pStyle w:val="231"/>
        <w:rPr>
          <w:rFonts w:hint="eastAsia" w:hAnsi="Times New Roman" w:eastAsia="宋体" w:cs="Times New Roman"/>
          <w:color w:val="auto"/>
          <w:highlight w:val="none"/>
          <w:lang w:eastAsia="zh-CN"/>
        </w:rPr>
      </w:pPr>
    </w:p>
    <w:p w14:paraId="548E474B">
      <w:pPr>
        <w:pStyle w:val="235"/>
        <w:numPr>
          <w:ilvl w:val="1"/>
          <w:numId w:val="0"/>
        </w:numPr>
        <w:bidi w:val="0"/>
        <w:ind w:leftChars="0"/>
        <w:rPr>
          <w:rFonts w:hint="eastAsia"/>
          <w:lang w:val="en-US" w:eastAsia="zh-CN"/>
        </w:rPr>
      </w:pPr>
      <w:r>
        <w:rPr>
          <w:rFonts w:hint="eastAsia"/>
          <w:lang w:val="en-US" w:eastAsia="zh-CN"/>
        </w:rPr>
        <w:t xml:space="preserve">3.3 </w:t>
      </w:r>
    </w:p>
    <w:p w14:paraId="5AD09385">
      <w:pPr>
        <w:pStyle w:val="235"/>
        <w:numPr>
          <w:ilvl w:val="0"/>
          <w:numId w:val="0"/>
        </w:numPr>
        <w:bidi w:val="0"/>
        <w:ind w:leftChars="0" w:firstLine="420" w:firstLineChars="200"/>
        <w:rPr>
          <w:rFonts w:hint="eastAsia"/>
          <w:lang w:val="en-US" w:eastAsia="zh-CN"/>
        </w:rPr>
      </w:pPr>
      <w:r>
        <w:rPr>
          <w:rFonts w:hint="eastAsia"/>
          <w:lang w:val="en-US" w:eastAsia="zh-CN"/>
        </w:rPr>
        <w:t>社会租赁车辆 Social rental vehicles</w:t>
      </w:r>
    </w:p>
    <w:p w14:paraId="5F97E14E">
      <w:pPr>
        <w:pStyle w:val="231"/>
        <w:keepNext w:val="0"/>
        <w:keepLines w:val="0"/>
        <w:pageBreakBefore w:val="0"/>
        <w:widowControl/>
        <w:kinsoku/>
        <w:wordWrap/>
        <w:overflowPunct/>
        <w:topLinePunct w:val="0"/>
        <w:autoSpaceDE w:val="0"/>
        <w:autoSpaceDN w:val="0"/>
        <w:bidi w:val="0"/>
        <w:adjustRightInd/>
        <w:snapToGrid/>
        <w:ind w:left="0" w:leftChars="0" w:firstLine="420" w:firstLineChars="0"/>
        <w:textAlignment w:val="auto"/>
        <w:rPr>
          <w:rFonts w:hint="eastAsia"/>
          <w:color w:val="auto"/>
          <w:highlight w:val="none"/>
          <w:lang w:val="en-US" w:eastAsia="zh-CN"/>
        </w:rPr>
      </w:pPr>
      <w:r>
        <w:rPr>
          <w:rFonts w:hint="eastAsia"/>
          <w:color w:val="auto"/>
          <w:highlight w:val="none"/>
          <w:lang w:val="en-US" w:eastAsia="zh-CN"/>
        </w:rPr>
        <w:t>各设区市通过公开招标确定的社会车辆租赁机构用于保障公务出行所提供的车辆。</w:t>
      </w:r>
    </w:p>
    <w:p w14:paraId="07B36729">
      <w:pPr>
        <w:pStyle w:val="239"/>
        <w:keepNext w:val="0"/>
        <w:keepLines w:val="0"/>
        <w:pageBreakBefore w:val="0"/>
        <w:widowControl/>
        <w:numPr>
          <w:ilvl w:val="0"/>
          <w:numId w:val="0"/>
        </w:numPr>
        <w:kinsoku/>
        <w:wordWrap/>
        <w:overflowPunct/>
        <w:topLinePunct w:val="0"/>
        <w:autoSpaceDE/>
        <w:autoSpaceDN/>
        <w:bidi w:val="0"/>
        <w:adjustRightInd/>
        <w:snapToGrid/>
        <w:spacing w:before="312" w:after="312"/>
        <w:ind w:leftChars="0"/>
        <w:textAlignment w:val="auto"/>
        <w:rPr>
          <w:rFonts w:hint="default" w:hAnsi="Times New Roman" w:cs="Times New Roman"/>
          <w:lang w:val="en-US" w:eastAsia="zh-CN"/>
        </w:rPr>
      </w:pPr>
      <w:r>
        <w:rPr>
          <w:rFonts w:hint="eastAsia" w:ascii="黑体" w:hAnsi="黑体" w:eastAsia="黑体" w:cs="黑体"/>
          <w:szCs w:val="21"/>
        </w:rPr>
        <w:t>4</w:t>
      </w:r>
      <w:r>
        <w:rPr>
          <w:rFonts w:hint="eastAsia" w:hAnsi="黑体" w:cs="黑体"/>
          <w:szCs w:val="21"/>
          <w:lang w:val="en-US" w:eastAsia="zh-CN"/>
        </w:rPr>
        <w:t xml:space="preserve"> </w:t>
      </w:r>
      <w:r>
        <w:rPr>
          <w:rFonts w:hint="eastAsia" w:ascii="黑体" w:hAnsi="黑体" w:eastAsia="黑体" w:cs="黑体"/>
          <w:szCs w:val="21"/>
        </w:rPr>
        <w:t xml:space="preserve"> </w:t>
      </w:r>
      <w:bookmarkStart w:id="42" w:name="_Toc129075330"/>
      <w:r>
        <w:rPr>
          <w:rFonts w:hint="eastAsia" w:hAnsi="Times New Roman" w:cs="Times New Roman"/>
          <w:lang w:val="en-US" w:eastAsia="zh-CN"/>
        </w:rPr>
        <w:t>机构职责</w:t>
      </w:r>
    </w:p>
    <w:p w14:paraId="2BDA36F1">
      <w:pPr>
        <w:pStyle w:val="235"/>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line="240" w:lineRule="auto"/>
        <w:ind w:leftChars="0"/>
        <w:textAlignment w:val="auto"/>
        <w:rPr>
          <w:rFonts w:hint="eastAsia"/>
          <w:lang w:val="en-US" w:eastAsia="zh-CN"/>
        </w:rPr>
      </w:pPr>
      <w:r>
        <w:rPr>
          <w:rFonts w:hint="eastAsia"/>
          <w:lang w:val="en-US" w:eastAsia="zh-CN"/>
        </w:rPr>
        <w:t>4.1  机关事务管理部门</w:t>
      </w:r>
    </w:p>
    <w:p w14:paraId="4B4B0C3E">
      <w:pPr>
        <w:widowControl/>
        <w:spacing w:line="240" w:lineRule="auto"/>
        <w:jc w:val="left"/>
        <w:rPr>
          <w:rFonts w:ascii="宋体" w:hAnsi="宋体"/>
        </w:rPr>
      </w:pPr>
    </w:p>
    <w:bookmarkEnd w:id="42"/>
    <w:p w14:paraId="4E20BD79">
      <w:pPr>
        <w:pStyle w:val="236"/>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00" w:lineRule="exact"/>
        <w:textAlignment w:val="auto"/>
        <w:rPr>
          <w:rFonts w:hint="eastAsia" w:ascii="宋体" w:hAnsi="宋体" w:eastAsia="宋体" w:cs="Times New Roman"/>
          <w:color w:val="auto"/>
          <w:sz w:val="21"/>
          <w:szCs w:val="21"/>
          <w:lang w:val="en-US" w:eastAsia="zh-CN" w:bidi="ar-SA"/>
        </w:rPr>
      </w:pPr>
      <w:bookmarkStart w:id="43" w:name="_Toc5002"/>
      <w:bookmarkStart w:id="44" w:name="_Hlk170290759"/>
      <w:r>
        <w:rPr>
          <w:rFonts w:hint="eastAsia" w:ascii="黑体" w:hAnsi="黑体" w:eastAsia="黑体" w:cs="黑体"/>
          <w:color w:val="auto"/>
          <w:sz w:val="21"/>
          <w:szCs w:val="21"/>
          <w:lang w:val="en-US" w:eastAsia="zh-CN" w:bidi="ar-SA"/>
        </w:rPr>
        <w:t>4.1.1</w:t>
      </w:r>
      <w:r>
        <w:rPr>
          <w:rFonts w:hint="eastAsia" w:ascii="宋体" w:hAnsi="宋体" w:eastAsia="宋体" w:cs="Times New Roman"/>
          <w:color w:val="auto"/>
          <w:sz w:val="21"/>
          <w:szCs w:val="21"/>
          <w:lang w:val="en-US" w:eastAsia="zh-CN" w:bidi="ar-SA"/>
        </w:rPr>
        <w:t xml:space="preserve">  各设区市机关事务管理部门负责本地区跨区域公务出行服务保障的管理工作，包括组织领导、政策制定、平台维护、人员管理、统筹协调、跨区域衔接、监督指导等。</w:t>
      </w:r>
    </w:p>
    <w:p w14:paraId="73A4552C">
      <w:pPr>
        <w:pStyle w:val="236"/>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00" w:lineRule="exact"/>
        <w:textAlignment w:val="auto"/>
        <w:rPr>
          <w:rFonts w:hint="eastAsia" w:ascii="宋体" w:hAnsi="宋体" w:eastAsia="宋体" w:cs="Times New Roman"/>
          <w:color w:val="auto"/>
          <w:sz w:val="21"/>
          <w:szCs w:val="21"/>
          <w:lang w:val="en-US" w:eastAsia="zh-CN" w:bidi="ar-SA"/>
        </w:rPr>
      </w:pPr>
      <w:r>
        <w:rPr>
          <w:rFonts w:hint="eastAsia" w:ascii="黑体" w:hAnsi="黑体" w:eastAsia="黑体" w:cs="黑体"/>
          <w:color w:val="auto"/>
          <w:sz w:val="21"/>
          <w:szCs w:val="21"/>
          <w:lang w:val="en-US" w:eastAsia="zh-CN" w:bidi="ar-SA"/>
        </w:rPr>
        <w:t>4.1.2</w:t>
      </w:r>
      <w:r>
        <w:rPr>
          <w:rFonts w:hint="eastAsia" w:ascii="宋体" w:hAnsi="宋体" w:eastAsia="宋体" w:cs="Times New Roman"/>
          <w:color w:val="auto"/>
          <w:sz w:val="21"/>
          <w:szCs w:val="21"/>
          <w:lang w:val="en-US" w:eastAsia="zh-CN" w:bidi="ar-SA"/>
        </w:rPr>
        <w:t xml:space="preserve">  负责对社会车辆租赁机构的车辆服务保障行为进行监督指导。</w:t>
      </w:r>
    </w:p>
    <w:p w14:paraId="2465D2ED">
      <w:pPr>
        <w:pStyle w:val="235"/>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line="240" w:lineRule="auto"/>
        <w:ind w:leftChars="0"/>
        <w:textAlignment w:val="auto"/>
        <w:rPr>
          <w:rFonts w:hint="default" w:hAnsi="Times New Roman" w:cs="Times New Roman"/>
          <w:color w:val="auto"/>
          <w:lang w:val="en-US" w:eastAsia="zh-CN"/>
        </w:rPr>
      </w:pPr>
      <w:r>
        <w:rPr>
          <w:rFonts w:hint="eastAsia" w:ascii="黑体" w:hAnsi="黑体" w:eastAsia="黑体" w:cs="黑体"/>
          <w:kern w:val="0"/>
        </w:rPr>
        <w:t xml:space="preserve">4.2 </w:t>
      </w:r>
      <w:bookmarkEnd w:id="43"/>
      <w:bookmarkEnd w:id="44"/>
      <w:r>
        <w:rPr>
          <w:rFonts w:hint="eastAsia" w:hAnsi="黑体" w:cs="黑体"/>
          <w:kern w:val="0"/>
          <w:lang w:val="en-US" w:eastAsia="zh-CN"/>
        </w:rPr>
        <w:t xml:space="preserve"> </w:t>
      </w:r>
      <w:r>
        <w:rPr>
          <w:rFonts w:hint="eastAsia" w:hAnsi="Times New Roman" w:cs="Times New Roman"/>
          <w:color w:val="auto"/>
          <w:lang w:val="en-US" w:eastAsia="zh-CN"/>
        </w:rPr>
        <w:t>财政部门</w:t>
      </w:r>
    </w:p>
    <w:p w14:paraId="136889B7">
      <w:pPr>
        <w:pStyle w:val="231"/>
        <w:ind w:left="0" w:leftChars="0" w:firstLine="0" w:firstLineChars="0"/>
        <w:rPr>
          <w:rFonts w:hint="default"/>
          <w:color w:val="auto"/>
          <w:lang w:val="en-US" w:eastAsia="zh-CN"/>
        </w:rPr>
      </w:pPr>
      <w:r>
        <w:rPr>
          <w:rFonts w:hint="eastAsia"/>
          <w:color w:val="C00000"/>
          <w:lang w:val="en-US" w:eastAsia="zh-CN"/>
        </w:rPr>
        <w:t xml:space="preserve">   </w:t>
      </w:r>
      <w:r>
        <w:rPr>
          <w:rFonts w:hint="eastAsia"/>
          <w:color w:val="auto"/>
          <w:lang w:val="en-US" w:eastAsia="zh-CN"/>
        </w:rPr>
        <w:t xml:space="preserve"> 负责对跨区域公务出行的费用进行监督管理。</w:t>
      </w:r>
    </w:p>
    <w:p w14:paraId="030D4344">
      <w:pPr>
        <w:pStyle w:val="235"/>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line="240" w:lineRule="auto"/>
        <w:ind w:leftChars="0"/>
        <w:textAlignment w:val="auto"/>
        <w:rPr>
          <w:rFonts w:hint="default"/>
          <w:color w:val="auto"/>
          <w:lang w:val="en-US" w:eastAsia="zh-CN"/>
        </w:rPr>
      </w:pPr>
      <w:r>
        <w:rPr>
          <w:rFonts w:hint="eastAsia" w:hAnsi="Times New Roman" w:cs="Times New Roman"/>
          <w:color w:val="auto"/>
          <w:lang w:val="en-US" w:eastAsia="zh-CN"/>
        </w:rPr>
        <w:t>4.3  审计部门</w:t>
      </w:r>
    </w:p>
    <w:p w14:paraId="194E5A21">
      <w:pPr>
        <w:pStyle w:val="231"/>
        <w:rPr>
          <w:rFonts w:hint="default"/>
          <w:color w:val="auto"/>
          <w:lang w:val="en-US" w:eastAsia="zh-CN"/>
        </w:rPr>
      </w:pPr>
      <w:r>
        <w:rPr>
          <w:rFonts w:hint="eastAsia" w:hAnsi="Times New Roman" w:cs="Times New Roman"/>
          <w:color w:val="auto"/>
          <w:lang w:val="en-US" w:eastAsia="zh-CN"/>
        </w:rPr>
        <w:t>负责对</w:t>
      </w:r>
      <w:r>
        <w:rPr>
          <w:rFonts w:hint="eastAsia"/>
          <w:color w:val="auto"/>
          <w:lang w:val="en-US" w:eastAsia="zh-CN"/>
        </w:rPr>
        <w:t>跨区域公务出行的费用进行审计监督。</w:t>
      </w:r>
    </w:p>
    <w:p w14:paraId="1560B225">
      <w:pPr>
        <w:pStyle w:val="235"/>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line="240" w:lineRule="auto"/>
        <w:ind w:leftChars="0"/>
        <w:textAlignment w:val="auto"/>
        <w:rPr>
          <w:rFonts w:hint="default"/>
          <w:color w:val="auto"/>
          <w:lang w:val="en-US" w:eastAsia="zh-CN"/>
        </w:rPr>
      </w:pPr>
      <w:r>
        <w:rPr>
          <w:rFonts w:hint="eastAsia" w:hAnsi="Times New Roman" w:cs="Times New Roman"/>
          <w:color w:val="auto"/>
          <w:lang w:val="en-US" w:eastAsia="zh-CN"/>
        </w:rPr>
        <w:t>4.4  纪检监察部门</w:t>
      </w:r>
    </w:p>
    <w:p w14:paraId="08F0D3BF">
      <w:pPr>
        <w:pStyle w:val="231"/>
        <w:ind w:left="0" w:leftChars="0" w:firstLine="420" w:firstLineChars="0"/>
        <w:rPr>
          <w:rFonts w:hint="default"/>
          <w:color w:val="auto"/>
          <w:lang w:val="en-US" w:eastAsia="zh-CN"/>
        </w:rPr>
      </w:pPr>
      <w:r>
        <w:rPr>
          <w:rFonts w:hint="eastAsia"/>
          <w:color w:val="auto"/>
          <w:lang w:val="en-US" w:eastAsia="zh-CN"/>
        </w:rPr>
        <w:t>负责对跨区域公务出行用车行为进行监督检查，发现或接到相关违规情况，及时查处违纪违法问题。</w:t>
      </w:r>
    </w:p>
    <w:p w14:paraId="29650F6F">
      <w:pPr>
        <w:pStyle w:val="235"/>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line="240" w:lineRule="auto"/>
        <w:ind w:leftChars="0"/>
        <w:textAlignment w:val="auto"/>
        <w:rPr>
          <w:rFonts w:hint="default"/>
          <w:lang w:val="en-US" w:eastAsia="zh-CN"/>
        </w:rPr>
      </w:pPr>
      <w:r>
        <w:rPr>
          <w:rFonts w:hint="eastAsia"/>
          <w:lang w:val="en-US" w:eastAsia="zh-CN"/>
        </w:rPr>
        <w:t>4.5  用车单位</w:t>
      </w:r>
    </w:p>
    <w:p w14:paraId="35A13546">
      <w:pPr>
        <w:pStyle w:val="236"/>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00" w:lineRule="exact"/>
        <w:ind w:leftChars="0" w:firstLine="420" w:firstLineChars="200"/>
        <w:textAlignment w:val="auto"/>
        <w:rPr>
          <w:rFonts w:hint="default"/>
          <w:lang w:val="en-US" w:eastAsia="zh-CN"/>
        </w:rPr>
      </w:pPr>
      <w:r>
        <w:rPr>
          <w:rFonts w:hint="eastAsia" w:ascii="宋体" w:hAnsi="宋体" w:eastAsia="宋体" w:cs="Times New Roman"/>
          <w:sz w:val="21"/>
          <w:szCs w:val="21"/>
          <w:lang w:val="en-US" w:eastAsia="zh-CN" w:bidi="ar-SA"/>
        </w:rPr>
        <w:t>负责本单位跨区域公务出行活动的组织管理、车辆申请、费用结算，对车辆保障情况进行反馈和评价。</w:t>
      </w:r>
    </w:p>
    <w:p w14:paraId="6C50ECF9">
      <w:pPr>
        <w:pStyle w:val="235"/>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line="240" w:lineRule="auto"/>
        <w:ind w:leftChars="0"/>
        <w:textAlignment w:val="auto"/>
        <w:rPr>
          <w:rFonts w:hint="eastAsia"/>
          <w:color w:val="auto"/>
          <w:lang w:val="en-US" w:eastAsia="zh-CN"/>
        </w:rPr>
      </w:pPr>
      <w:r>
        <w:rPr>
          <w:rFonts w:hint="eastAsia"/>
          <w:color w:val="auto"/>
          <w:lang w:val="en-US" w:eastAsia="zh-CN"/>
        </w:rPr>
        <w:t>4.6  社会车辆租赁机构</w:t>
      </w:r>
    </w:p>
    <w:p w14:paraId="3D344193">
      <w:pPr>
        <w:pStyle w:val="236"/>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00" w:lineRule="exact"/>
        <w:ind w:leftChars="0" w:firstLine="420" w:firstLineChars="200"/>
        <w:textAlignment w:val="auto"/>
        <w:rPr>
          <w:rFonts w:hint="eastAsia" w:ascii="宋体" w:hAnsi="宋体" w:eastAsia="宋体" w:cs="Times New Roman"/>
          <w:sz w:val="21"/>
          <w:szCs w:val="21"/>
          <w:lang w:val="en-US" w:eastAsia="zh-CN" w:bidi="ar-SA"/>
        </w:rPr>
      </w:pPr>
      <w:r>
        <w:rPr>
          <w:rFonts w:hint="eastAsia" w:ascii="宋体" w:hAnsi="宋体" w:eastAsia="宋体" w:cs="Times New Roman"/>
          <w:color w:val="auto"/>
          <w:sz w:val="21"/>
          <w:szCs w:val="21"/>
          <w:lang w:val="en-US" w:eastAsia="zh-CN" w:bidi="ar-SA"/>
        </w:rPr>
        <w:t>负责根据</w:t>
      </w:r>
      <w:r>
        <w:rPr>
          <w:rFonts w:hint="eastAsia" w:ascii="宋体" w:hAnsi="宋体" w:eastAsia="宋体" w:cs="Times New Roman"/>
          <w:sz w:val="21"/>
          <w:szCs w:val="21"/>
          <w:lang w:val="en-US" w:eastAsia="zh-CN" w:bidi="ar-SA"/>
        </w:rPr>
        <w:t>本地区党政机关社会化车辆租赁服务框架协议采购内容，为全省党政机关公务人员跨区域公务出行提供车辆租赁服务。</w:t>
      </w:r>
    </w:p>
    <w:p w14:paraId="1AA4EFA8">
      <w:pPr>
        <w:pStyle w:val="239"/>
        <w:numPr>
          <w:ilvl w:val="0"/>
          <w:numId w:val="0"/>
        </w:numPr>
        <w:spacing w:before="312" w:after="312"/>
        <w:ind w:leftChars="0"/>
        <w:rPr>
          <w:rFonts w:hint="eastAsia"/>
        </w:rPr>
      </w:pPr>
      <w:bookmarkStart w:id="45" w:name="_Toc129162468"/>
      <w:r>
        <w:rPr>
          <w:rFonts w:hint="eastAsia"/>
          <w:lang w:val="en-US" w:eastAsia="zh-CN"/>
        </w:rPr>
        <w:t xml:space="preserve">5  </w:t>
      </w:r>
      <w:r>
        <w:rPr>
          <w:rFonts w:hint="eastAsia"/>
        </w:rPr>
        <w:t>保障范围</w:t>
      </w:r>
      <w:bookmarkEnd w:id="45"/>
    </w:p>
    <w:p w14:paraId="549CC168">
      <w:pPr>
        <w:pStyle w:val="231"/>
        <w:rPr>
          <w:rFonts w:hint="eastAsia"/>
        </w:rPr>
      </w:pPr>
      <w:r>
        <w:rPr>
          <w:rFonts w:hint="eastAsia"/>
        </w:rPr>
        <w:t>各级党政机关</w:t>
      </w:r>
      <w:r>
        <w:rPr>
          <w:rFonts w:hint="eastAsia"/>
          <w:lang w:eastAsia="zh-CN"/>
        </w:rPr>
        <w:t>工作人员</w:t>
      </w:r>
      <w:r>
        <w:rPr>
          <w:rFonts w:hint="eastAsia"/>
        </w:rPr>
        <w:t>选择乘用公共交通工具赴</w:t>
      </w:r>
      <w:r>
        <w:rPr>
          <w:rFonts w:hint="eastAsia"/>
          <w:highlight w:val="none"/>
          <w:lang w:eastAsia="zh-CN"/>
        </w:rPr>
        <w:t>省内其他设区市</w:t>
      </w:r>
      <w:r>
        <w:rPr>
          <w:rFonts w:hint="eastAsia"/>
        </w:rPr>
        <w:t>办理</w:t>
      </w:r>
      <w:r>
        <w:rPr>
          <w:rFonts w:hint="eastAsia"/>
          <w:lang w:eastAsia="zh-CN"/>
        </w:rPr>
        <w:t>以下</w:t>
      </w:r>
      <w:r>
        <w:rPr>
          <w:rFonts w:hint="eastAsia"/>
        </w:rPr>
        <w:t>公务</w:t>
      </w:r>
      <w:r>
        <w:rPr>
          <w:rFonts w:hint="eastAsia"/>
          <w:lang w:eastAsia="zh-CN"/>
        </w:rPr>
        <w:t>活动：</w:t>
      </w:r>
    </w:p>
    <w:p w14:paraId="65CC28B2">
      <w:pPr>
        <w:pStyle w:val="231"/>
        <w:rPr>
          <w:rFonts w:hint="eastAsia"/>
        </w:rPr>
      </w:pPr>
      <w:r>
        <w:rPr>
          <w:rFonts w:hint="eastAsia"/>
        </w:rPr>
        <w:t>——执行重大抢险救灾、事故处理、突发事件处置等不可预测的特殊任务；</w:t>
      </w:r>
    </w:p>
    <w:p w14:paraId="016A76EA">
      <w:pPr>
        <w:pStyle w:val="231"/>
        <w:rPr>
          <w:rFonts w:hint="eastAsia"/>
        </w:rPr>
      </w:pPr>
      <w:r>
        <w:rPr>
          <w:rFonts w:hint="eastAsia"/>
        </w:rPr>
        <w:t>——参加上级机关和有关部门紧急召集的跨部门会议和活动；</w:t>
      </w:r>
    </w:p>
    <w:p w14:paraId="50E177EE">
      <w:pPr>
        <w:pStyle w:val="231"/>
        <w:rPr>
          <w:rFonts w:hint="eastAsia"/>
        </w:rPr>
      </w:pPr>
      <w:r>
        <w:rPr>
          <w:rFonts w:hint="eastAsia"/>
        </w:rPr>
        <w:t>——重大项目招商引资、重大工程项目推进</w:t>
      </w:r>
      <w:r>
        <w:rPr>
          <w:rFonts w:hint="eastAsia"/>
          <w:lang w:eastAsia="zh-CN"/>
        </w:rPr>
        <w:t>等</w:t>
      </w:r>
      <w:r>
        <w:rPr>
          <w:rFonts w:hint="eastAsia"/>
        </w:rPr>
        <w:t>活动；</w:t>
      </w:r>
    </w:p>
    <w:p w14:paraId="02AD7483">
      <w:pPr>
        <w:pStyle w:val="231"/>
        <w:rPr>
          <w:rFonts w:hint="eastAsia"/>
          <w:color w:val="auto"/>
        </w:rPr>
      </w:pPr>
      <w:r>
        <w:rPr>
          <w:rFonts w:hint="eastAsia"/>
          <w:color w:val="auto"/>
        </w:rPr>
        <w:t>——单位组织外出考察、学习等集体活动；</w:t>
      </w:r>
    </w:p>
    <w:p w14:paraId="3F0A1BDF">
      <w:pPr>
        <w:pStyle w:val="231"/>
        <w:rPr>
          <w:rFonts w:hint="eastAsia"/>
          <w:color w:val="auto"/>
        </w:rPr>
      </w:pPr>
      <w:r>
        <w:rPr>
          <w:rFonts w:hint="eastAsia"/>
          <w:color w:val="auto"/>
        </w:rPr>
        <w:t>——跨行政区域出差等公务出行；</w:t>
      </w:r>
    </w:p>
    <w:p w14:paraId="15B8EA78">
      <w:pPr>
        <w:pStyle w:val="231"/>
        <w:rPr>
          <w:rFonts w:hint="eastAsia"/>
          <w:color w:val="auto"/>
        </w:rPr>
      </w:pPr>
      <w:r>
        <w:rPr>
          <w:rFonts w:hint="eastAsia"/>
          <w:color w:val="auto"/>
        </w:rPr>
        <w:t>——其他特殊情况。</w:t>
      </w:r>
    </w:p>
    <w:p w14:paraId="6C735FB7">
      <w:pPr>
        <w:pStyle w:val="239"/>
        <w:numPr>
          <w:ilvl w:val="0"/>
          <w:numId w:val="0"/>
        </w:numPr>
        <w:spacing w:before="312" w:after="312"/>
        <w:ind w:leftChars="0"/>
        <w:rPr>
          <w:rFonts w:hint="eastAsia"/>
          <w:color w:val="auto"/>
        </w:rPr>
      </w:pPr>
      <w:r>
        <w:rPr>
          <w:rFonts w:hint="eastAsia"/>
          <w:color w:val="auto"/>
          <w:lang w:val="en-US" w:eastAsia="zh-CN"/>
        </w:rPr>
        <w:t xml:space="preserve">6  </w:t>
      </w:r>
      <w:r>
        <w:rPr>
          <w:rFonts w:hint="eastAsia"/>
          <w:color w:val="auto"/>
          <w:lang w:eastAsia="zh-CN"/>
        </w:rPr>
        <w:t>保障形式</w:t>
      </w:r>
    </w:p>
    <w:p w14:paraId="08CFECB5">
      <w:pPr>
        <w:pStyle w:val="235"/>
        <w:numPr>
          <w:ilvl w:val="1"/>
          <w:numId w:val="0"/>
        </w:numPr>
        <w:bidi w:val="0"/>
        <w:ind w:leftChars="0"/>
        <w:rPr>
          <w:rFonts w:hint="eastAsia"/>
        </w:rPr>
      </w:pPr>
      <w:r>
        <w:rPr>
          <w:rFonts w:hint="eastAsia"/>
          <w:lang w:val="en-US" w:eastAsia="zh-CN"/>
        </w:rPr>
        <w:t xml:space="preserve">6.1  </w:t>
      </w:r>
      <w:r>
        <w:rPr>
          <w:rFonts w:hint="eastAsia"/>
        </w:rPr>
        <w:t>统一模式</w:t>
      </w:r>
    </w:p>
    <w:p w14:paraId="1D5DD097">
      <w:pPr>
        <w:pStyle w:val="236"/>
        <w:keepNext w:val="0"/>
        <w:keepLines w:val="0"/>
        <w:pageBreakBefore w:val="0"/>
        <w:widowControl/>
        <w:numPr>
          <w:ilvl w:val="2"/>
          <w:numId w:val="0"/>
        </w:numPr>
        <w:kinsoku/>
        <w:wordWrap/>
        <w:overflowPunct/>
        <w:topLinePunct w:val="0"/>
        <w:autoSpaceDE/>
        <w:autoSpaceDN/>
        <w:bidi w:val="0"/>
        <w:adjustRightInd/>
        <w:snapToGrid/>
        <w:spacing w:before="0" w:beforeLines="0" w:after="0" w:afterLines="0"/>
        <w:ind w:leftChars="0"/>
        <w:textAlignment w:val="auto"/>
        <w:rPr>
          <w:rFonts w:hint="eastAsia" w:ascii="宋体" w:hAnsi="Times New Roman" w:eastAsia="宋体" w:cs="Times New Roman"/>
          <w:sz w:val="21"/>
          <w:lang w:val="en-US" w:eastAsia="zh-CN" w:bidi="ar-SA"/>
        </w:rPr>
      </w:pPr>
      <w:r>
        <w:rPr>
          <w:rFonts w:hint="eastAsia" w:ascii="黑体" w:hAnsi="Times New Roman" w:eastAsia="黑体" w:cs="Times New Roman"/>
          <w:sz w:val="21"/>
          <w:szCs w:val="21"/>
          <w:lang w:val="en-US" w:eastAsia="zh-CN" w:bidi="ar-SA"/>
        </w:rPr>
        <w:t>6.1.1</w:t>
      </w:r>
      <w:r>
        <w:rPr>
          <w:rFonts w:hint="eastAsia" w:hAnsi="Times New Roman" w:cs="Times New Roman"/>
          <w:sz w:val="21"/>
          <w:szCs w:val="21"/>
          <w:lang w:val="en-US" w:eastAsia="zh-CN" w:bidi="ar-SA"/>
        </w:rPr>
        <w:t xml:space="preserve">  </w:t>
      </w:r>
      <w:r>
        <w:rPr>
          <w:rFonts w:hint="eastAsia" w:ascii="宋体" w:hAnsi="Times New Roman" w:eastAsia="宋体" w:cs="Times New Roman"/>
          <w:sz w:val="21"/>
          <w:lang w:val="en-US" w:eastAsia="zh-CN" w:bidi="ar-SA"/>
        </w:rPr>
        <w:t xml:space="preserve">建立全省跨区域公务出行一体化保障机制，各级党政机关工作人员乘坐公共交通工具赴省内其他设区市办理公务活动的，可提前通过本地公务用车平台申请目的地平台车辆保障，在平台车辆无法满足需求的前提下，可选择当地社会租赁车辆保障。 </w:t>
      </w:r>
    </w:p>
    <w:p w14:paraId="242135DD">
      <w:pPr>
        <w:pStyle w:val="236"/>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leftChars="0"/>
        <w:textAlignment w:val="auto"/>
        <w:rPr>
          <w:rFonts w:hint="eastAsia" w:ascii="宋体" w:hAnsi="Times New Roman" w:eastAsia="宋体" w:cs="Times New Roman"/>
          <w:sz w:val="21"/>
          <w:lang w:val="en-US" w:eastAsia="zh-CN" w:bidi="ar-SA"/>
        </w:rPr>
      </w:pPr>
      <w:r>
        <w:rPr>
          <w:rFonts w:hint="eastAsia" w:ascii="黑体" w:hAnsi="Times New Roman" w:eastAsia="黑体" w:cs="Times New Roman"/>
          <w:sz w:val="21"/>
          <w:szCs w:val="21"/>
          <w:lang w:val="en-US" w:eastAsia="zh-CN" w:bidi="ar-SA"/>
        </w:rPr>
        <w:t xml:space="preserve">6.1.2 </w:t>
      </w:r>
      <w:r>
        <w:rPr>
          <w:rFonts w:hint="eastAsia" w:hAnsi="Times New Roman" w:cs="Times New Roman"/>
          <w:sz w:val="21"/>
          <w:szCs w:val="21"/>
          <w:lang w:val="en-US" w:eastAsia="zh-CN" w:bidi="ar-SA"/>
        </w:rPr>
        <w:t xml:space="preserve"> </w:t>
      </w:r>
      <w:r>
        <w:rPr>
          <w:rFonts w:hint="eastAsia" w:ascii="宋体" w:hAnsi="Times New Roman" w:eastAsia="宋体" w:cs="Times New Roman"/>
          <w:sz w:val="21"/>
          <w:lang w:val="en-US" w:eastAsia="zh-CN" w:bidi="ar-SA"/>
        </w:rPr>
        <w:t>各设区市机关事务管理部门</w:t>
      </w:r>
      <w:r>
        <w:rPr>
          <w:rFonts w:hint="eastAsia" w:ascii="宋体" w:hAnsi="Times New Roman" w:eastAsia="宋体" w:cs="Times New Roman"/>
          <w:color w:val="auto"/>
          <w:sz w:val="21"/>
          <w:lang w:val="en-US" w:eastAsia="zh-CN" w:bidi="ar-SA"/>
        </w:rPr>
        <w:t>应对党政机关公务用车进行集中管理、统筹调度，科学</w:t>
      </w:r>
      <w:r>
        <w:rPr>
          <w:rFonts w:hint="eastAsia" w:ascii="宋体" w:hAnsi="Times New Roman" w:eastAsia="宋体" w:cs="Times New Roman"/>
          <w:sz w:val="21"/>
          <w:lang w:val="en-US" w:eastAsia="zh-CN" w:bidi="ar-SA"/>
        </w:rPr>
        <w:t>、规范实施跨层级、跨部门、跨区域调度，做到能派尽派、合规便利、安全高效。</w:t>
      </w:r>
    </w:p>
    <w:p w14:paraId="50A3F185">
      <w:pPr>
        <w:pStyle w:val="235"/>
        <w:numPr>
          <w:ilvl w:val="1"/>
          <w:numId w:val="0"/>
        </w:numPr>
        <w:bidi w:val="0"/>
        <w:ind w:leftChars="0"/>
        <w:rPr>
          <w:rFonts w:hint="eastAsia"/>
        </w:rPr>
      </w:pPr>
      <w:r>
        <w:rPr>
          <w:rFonts w:hint="eastAsia"/>
          <w:lang w:val="en-US" w:eastAsia="zh-CN"/>
        </w:rPr>
        <w:t>6.2</w:t>
      </w:r>
      <w:r>
        <w:rPr>
          <w:rFonts w:hint="eastAsia"/>
        </w:rPr>
        <w:t>统一平台</w:t>
      </w:r>
    </w:p>
    <w:p w14:paraId="69179CEE">
      <w:pPr>
        <w:pStyle w:val="56"/>
        <w:ind w:left="0" w:leftChars="0" w:firstLine="0" w:firstLineChars="0"/>
      </w:pPr>
      <w:r>
        <w:rPr>
          <w:rFonts w:hint="eastAsia" w:ascii="黑体" w:hAnsi="Times New Roman" w:eastAsia="黑体" w:cs="Times New Roman"/>
          <w:sz w:val="21"/>
          <w:szCs w:val="21"/>
          <w:lang w:val="en-US" w:eastAsia="zh-CN" w:bidi="ar-SA"/>
        </w:rPr>
        <w:t>6.2.1</w:t>
      </w:r>
      <w:r>
        <w:rPr>
          <w:rFonts w:hint="eastAsia" w:ascii="宋体" w:hAnsi="Times New Roman" w:eastAsia="宋体" w:cs="Times New Roman"/>
          <w:sz w:val="21"/>
          <w:lang w:val="en-US" w:eastAsia="zh-CN" w:bidi="ar-SA"/>
        </w:rPr>
        <w:t>各设区市机关事务管理部门依托全省公务用车信息化管理平台，增加跨区域公务出行一体化保障功能，包括跨区域用车申请、用车审批、用车评价、用车结算、社会车辆租赁等模块。</w:t>
      </w:r>
    </w:p>
    <w:p w14:paraId="78FD03BF">
      <w:pPr>
        <w:pStyle w:val="236"/>
        <w:keepNext w:val="0"/>
        <w:keepLines w:val="0"/>
        <w:pageBreakBefore w:val="0"/>
        <w:widowControl/>
        <w:numPr>
          <w:ilvl w:val="2"/>
          <w:numId w:val="0"/>
        </w:numPr>
        <w:kinsoku/>
        <w:wordWrap/>
        <w:overflowPunct/>
        <w:topLinePunct w:val="0"/>
        <w:autoSpaceDE/>
        <w:autoSpaceDN/>
        <w:bidi w:val="0"/>
        <w:adjustRightInd/>
        <w:snapToGrid/>
        <w:spacing w:before="0" w:beforeLines="0" w:after="0" w:afterLines="0"/>
        <w:ind w:leftChars="0"/>
        <w:textAlignment w:val="auto"/>
        <w:rPr>
          <w:rFonts w:hint="eastAsia" w:ascii="宋体" w:hAnsi="Times New Roman" w:eastAsia="宋体" w:cs="Times New Roman"/>
          <w:sz w:val="21"/>
          <w:lang w:val="en-US" w:eastAsia="zh-CN" w:bidi="ar-SA"/>
        </w:rPr>
      </w:pPr>
      <w:r>
        <w:rPr>
          <w:rFonts w:hint="eastAsia" w:ascii="黑体" w:hAnsi="Times New Roman" w:eastAsia="黑体" w:cs="Times New Roman"/>
          <w:sz w:val="21"/>
          <w:szCs w:val="21"/>
          <w:lang w:val="en-US" w:eastAsia="zh-CN" w:bidi="ar-SA"/>
        </w:rPr>
        <w:t>6.2.2</w:t>
      </w:r>
      <w:r>
        <w:rPr>
          <w:rFonts w:hint="eastAsia" w:ascii="宋体" w:hAnsi="Times New Roman" w:eastAsia="宋体" w:cs="Times New Roman"/>
          <w:sz w:val="21"/>
          <w:lang w:val="en-US" w:eastAsia="zh-CN" w:bidi="ar-SA"/>
        </w:rPr>
        <w:t>各设区市机关事务管理部门应按照全省公务用车信息化管理平台技术标准，规范并完善公务用车信息化管理平台中各项车辆、人员、社会车辆租赁机构基础信息。</w:t>
      </w:r>
    </w:p>
    <w:p w14:paraId="5BF01AF6">
      <w:pPr>
        <w:pStyle w:val="236"/>
        <w:keepNext w:val="0"/>
        <w:keepLines w:val="0"/>
        <w:pageBreakBefore w:val="0"/>
        <w:widowControl/>
        <w:numPr>
          <w:ilvl w:val="2"/>
          <w:numId w:val="0"/>
        </w:numPr>
        <w:kinsoku/>
        <w:wordWrap/>
        <w:overflowPunct/>
        <w:topLinePunct w:val="0"/>
        <w:autoSpaceDE/>
        <w:autoSpaceDN/>
        <w:bidi w:val="0"/>
        <w:adjustRightInd/>
        <w:snapToGrid/>
        <w:spacing w:before="0" w:beforeLines="0" w:after="0" w:afterLines="0"/>
        <w:ind w:leftChars="0"/>
        <w:textAlignment w:val="auto"/>
        <w:rPr>
          <w:rFonts w:hint="default"/>
          <w:lang w:val="en-US" w:eastAsia="zh-CN"/>
        </w:rPr>
      </w:pPr>
      <w:r>
        <w:rPr>
          <w:rFonts w:hint="eastAsia" w:ascii="黑体" w:hAnsi="Times New Roman" w:eastAsia="黑体" w:cs="Times New Roman"/>
          <w:sz w:val="21"/>
          <w:szCs w:val="21"/>
          <w:lang w:val="en-US" w:eastAsia="zh-CN" w:bidi="ar-SA"/>
        </w:rPr>
        <w:t>6.2.3</w:t>
      </w:r>
      <w:r>
        <w:rPr>
          <w:rFonts w:hint="eastAsia" w:ascii="宋体" w:hAnsi="Times New Roman" w:eastAsia="宋体" w:cs="Times New Roman"/>
          <w:sz w:val="21"/>
          <w:lang w:val="en-US" w:eastAsia="zh-CN" w:bidi="ar-SA"/>
        </w:rPr>
        <w:t>各设区市机关事务管理部门应指导并督促本地社会车辆租赁</w:t>
      </w:r>
      <w:r>
        <w:rPr>
          <w:rFonts w:hint="eastAsia" w:ascii="宋体" w:hAnsi="Times New Roman" w:eastAsia="宋体" w:cs="Times New Roman"/>
          <w:color w:val="auto"/>
          <w:sz w:val="21"/>
          <w:lang w:val="en-US" w:eastAsia="zh-CN" w:bidi="ar-SA"/>
        </w:rPr>
        <w:t>机构</w:t>
      </w:r>
      <w:r>
        <w:rPr>
          <w:rFonts w:hint="eastAsia" w:ascii="宋体" w:hAnsi="Times New Roman" w:eastAsia="宋体" w:cs="Times New Roman"/>
          <w:sz w:val="21"/>
          <w:lang w:val="en-US" w:eastAsia="zh-CN" w:bidi="ar-SA"/>
        </w:rPr>
        <w:t>，按要求维护参与保障的车辆、驾驶员、用车价格等信息。</w:t>
      </w:r>
    </w:p>
    <w:p w14:paraId="31E3B2D2">
      <w:pPr>
        <w:pStyle w:val="235"/>
        <w:numPr>
          <w:ilvl w:val="1"/>
          <w:numId w:val="0"/>
        </w:numPr>
        <w:bidi w:val="0"/>
        <w:ind w:leftChars="0"/>
        <w:rPr>
          <w:rFonts w:hint="default" w:eastAsia="宋体"/>
          <w:lang w:val="en-US" w:eastAsia="zh-CN"/>
        </w:rPr>
      </w:pPr>
      <w:r>
        <w:rPr>
          <w:rFonts w:hint="eastAsia"/>
          <w:lang w:val="en-US" w:eastAsia="zh-CN"/>
        </w:rPr>
        <w:t>6.3</w:t>
      </w:r>
      <w:r>
        <w:rPr>
          <w:rFonts w:hint="eastAsia"/>
        </w:rPr>
        <w:t>统一服务</w:t>
      </w:r>
    </w:p>
    <w:p w14:paraId="355EACAF">
      <w:pPr>
        <w:pStyle w:val="236"/>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leftChars="0"/>
        <w:textAlignment w:val="auto"/>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6.3.1  申请</w:t>
      </w:r>
    </w:p>
    <w:p w14:paraId="05580ABA">
      <w:pPr>
        <w:pStyle w:val="231"/>
        <w:keepNext w:val="0"/>
        <w:keepLines w:val="0"/>
        <w:pageBreakBefore w:val="0"/>
        <w:widowControl/>
        <w:kinsoku/>
        <w:wordWrap/>
        <w:overflowPunct/>
        <w:topLinePunct w:val="0"/>
        <w:autoSpaceDE w:val="0"/>
        <w:autoSpaceDN w:val="0"/>
        <w:bidi w:val="0"/>
        <w:adjustRightInd/>
        <w:snapToGrid/>
        <w:spacing w:line="100" w:lineRule="exact"/>
        <w:textAlignment w:val="auto"/>
        <w:rPr>
          <w:rFonts w:hint="eastAsia"/>
          <w:lang w:val="en-US" w:eastAsia="zh-CN"/>
        </w:rPr>
      </w:pPr>
    </w:p>
    <w:p w14:paraId="336B0B08">
      <w:pPr>
        <w:pStyle w:val="236"/>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leftChars="0" w:firstLine="420" w:firstLineChars="200"/>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用车单位应通过公务用车信息化管理平台，填报《跨区域公务出行一体化保障用车申请表》（见附录A），平台应提供24h线上服务。如遇特殊情况，可提供电话或线下预约。</w:t>
      </w:r>
    </w:p>
    <w:p w14:paraId="0E9B65D5">
      <w:pPr>
        <w:pStyle w:val="236"/>
        <w:numPr>
          <w:ilvl w:val="0"/>
          <w:numId w:val="0"/>
        </w:numPr>
        <w:bidi w:val="0"/>
        <w:ind w:leftChars="0"/>
        <w:rPr>
          <w:rFonts w:hint="eastAsia"/>
          <w:lang w:val="en-US" w:eastAsia="zh-CN"/>
        </w:rPr>
      </w:pPr>
      <w:r>
        <w:rPr>
          <w:rFonts w:hint="eastAsia"/>
          <w:lang w:val="en-US" w:eastAsia="zh-CN"/>
        </w:rPr>
        <w:t>6.3.2  审批</w:t>
      </w:r>
    </w:p>
    <w:p w14:paraId="5CBDCF30">
      <w:pPr>
        <w:pStyle w:val="236"/>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应根据用车申请进行审批，调配平台公务用车进行保障，审批时间不超过15min。</w:t>
      </w:r>
    </w:p>
    <w:p w14:paraId="2D36DDC3">
      <w:pPr>
        <w:pStyle w:val="236"/>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leftChars="0"/>
        <w:textAlignment w:val="auto"/>
        <w:rPr>
          <w:rFonts w:hint="eastAsia" w:ascii="宋体" w:hAnsi="Times New Roman" w:eastAsia="宋体" w:cs="Times New Roman"/>
          <w:sz w:val="21"/>
          <w:lang w:val="en-US" w:eastAsia="zh-CN" w:bidi="ar-SA"/>
        </w:rPr>
      </w:pPr>
      <w:r>
        <w:rPr>
          <w:rFonts w:hint="eastAsia" w:ascii="黑体" w:hAnsi="黑体" w:eastAsia="黑体" w:cs="黑体"/>
          <w:sz w:val="21"/>
          <w:lang w:val="en-US" w:eastAsia="zh-CN" w:bidi="ar-SA"/>
        </w:rPr>
        <w:t>6.3.3</w:t>
      </w:r>
      <w:r>
        <w:rPr>
          <w:rFonts w:hint="eastAsia" w:ascii="宋体" w:hAnsi="Times New Roman" w:eastAsia="宋体" w:cs="Times New Roman"/>
          <w:sz w:val="21"/>
          <w:lang w:val="en-US" w:eastAsia="zh-CN" w:bidi="ar-SA"/>
        </w:rPr>
        <w:t xml:space="preserve">  </w:t>
      </w:r>
      <w:r>
        <w:rPr>
          <w:rFonts w:hint="eastAsia" w:ascii="黑体" w:hAnsi="黑体" w:eastAsia="黑体" w:cs="黑体"/>
          <w:sz w:val="21"/>
          <w:lang w:val="en-US" w:eastAsia="zh-CN" w:bidi="ar-SA"/>
        </w:rPr>
        <w:t>派车</w:t>
      </w:r>
    </w:p>
    <w:p w14:paraId="148BCD9F">
      <w:pPr>
        <w:pStyle w:val="236"/>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leftChars="0" w:firstLine="420" w:firstLineChars="200"/>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应根据公务出行需求，对平台可用车辆进行派车；若平台无可用车辆，应及时告知用车单位，协助用车单位选择社会租赁车辆。</w:t>
      </w:r>
    </w:p>
    <w:p w14:paraId="32568DCC">
      <w:pPr>
        <w:pStyle w:val="236"/>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leftChars="0"/>
        <w:textAlignment w:val="auto"/>
        <w:rPr>
          <w:rFonts w:hint="eastAsia" w:ascii="黑体" w:hAnsi="黑体" w:eastAsia="黑体" w:cs="黑体"/>
          <w:strike w:val="0"/>
          <w:dstrike w:val="0"/>
          <w:color w:val="auto"/>
          <w:sz w:val="21"/>
          <w:lang w:val="en-US" w:eastAsia="zh-CN" w:bidi="ar-SA"/>
        </w:rPr>
      </w:pPr>
    </w:p>
    <w:p w14:paraId="50E29EBD">
      <w:pPr>
        <w:pStyle w:val="236"/>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leftChars="0"/>
        <w:textAlignment w:val="auto"/>
        <w:rPr>
          <w:rFonts w:hint="eastAsia"/>
          <w:lang w:val="en-US" w:eastAsia="zh-CN"/>
        </w:rPr>
      </w:pPr>
      <w:r>
        <w:rPr>
          <w:rFonts w:hint="eastAsia" w:ascii="黑体" w:hAnsi="黑体" w:eastAsia="黑体" w:cs="黑体"/>
          <w:strike w:val="0"/>
          <w:dstrike w:val="0"/>
          <w:color w:val="auto"/>
          <w:sz w:val="21"/>
          <w:lang w:val="en-US" w:eastAsia="zh-CN" w:bidi="ar-SA"/>
        </w:rPr>
        <w:t xml:space="preserve">6.3.4 </w:t>
      </w:r>
      <w:r>
        <w:rPr>
          <w:rFonts w:hint="eastAsia"/>
          <w:lang w:val="en-US" w:eastAsia="zh-CN"/>
        </w:rPr>
        <w:t xml:space="preserve"> 应急处置</w:t>
      </w:r>
    </w:p>
    <w:p w14:paraId="343FD01B">
      <w:pPr>
        <w:pStyle w:val="236"/>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发生突发情况时，</w:t>
      </w:r>
      <w:r>
        <w:rPr>
          <w:rFonts w:hint="eastAsia" w:ascii="宋体" w:hAnsi="宋体" w:eastAsia="宋体" w:cs="宋体"/>
          <w:color w:val="auto"/>
          <w:lang w:val="en-US" w:eastAsia="zh-CN"/>
        </w:rPr>
        <w:t>应</w:t>
      </w:r>
      <w:r>
        <w:rPr>
          <w:rFonts w:hint="eastAsia" w:ascii="宋体" w:hAnsi="宋体" w:eastAsia="宋体" w:cs="宋体"/>
          <w:lang w:val="en-US" w:eastAsia="zh-CN"/>
        </w:rPr>
        <w:t>根据应急预案相应流程和步骤进行处理，并做好后续车辆保障任务。</w:t>
      </w:r>
    </w:p>
    <w:p w14:paraId="590A1642">
      <w:pPr>
        <w:pStyle w:val="235"/>
        <w:numPr>
          <w:ilvl w:val="1"/>
          <w:numId w:val="0"/>
        </w:numPr>
        <w:bidi w:val="0"/>
        <w:ind w:leftChars="0"/>
        <w:rPr>
          <w:rFonts w:hint="eastAsia"/>
        </w:rPr>
      </w:pPr>
      <w:r>
        <w:rPr>
          <w:rFonts w:hint="eastAsia"/>
          <w:lang w:val="en-US" w:eastAsia="zh-CN"/>
        </w:rPr>
        <w:t>6.4</w:t>
      </w:r>
      <w:r>
        <w:rPr>
          <w:rFonts w:hint="eastAsia"/>
        </w:rPr>
        <w:t>统一结算</w:t>
      </w:r>
    </w:p>
    <w:p w14:paraId="6E3C04A0">
      <w:pPr>
        <w:pStyle w:val="231"/>
        <w:ind w:left="0" w:leftChars="0" w:firstLine="0" w:firstLineChars="0"/>
        <w:rPr>
          <w:rFonts w:hint="eastAsia" w:hAnsi="Times New Roman" w:eastAsia="宋体" w:cs="Times New Roman"/>
          <w:color w:val="auto"/>
          <w:sz w:val="21"/>
          <w:lang w:val="en-US" w:eastAsia="zh-CN" w:bidi="ar-SA"/>
        </w:rPr>
      </w:pPr>
      <w:r>
        <w:rPr>
          <w:rFonts w:hint="eastAsia" w:ascii="黑体" w:hAnsi="Times New Roman" w:eastAsia="黑体" w:cs="Times New Roman"/>
          <w:sz w:val="21"/>
          <w:szCs w:val="21"/>
          <w:lang w:val="en-US" w:eastAsia="zh-CN" w:bidi="ar-SA"/>
        </w:rPr>
        <w:t xml:space="preserve">6.4.1 </w:t>
      </w:r>
      <w:r>
        <w:rPr>
          <w:rFonts w:hint="eastAsia"/>
          <w:lang w:val="en-US" w:eastAsia="zh-CN"/>
        </w:rPr>
        <w:t xml:space="preserve"> </w:t>
      </w:r>
      <w:r>
        <w:rPr>
          <w:rFonts w:hint="eastAsia" w:ascii="宋体" w:hAnsi="Times New Roman" w:eastAsia="宋体" w:cs="Times New Roman"/>
          <w:sz w:val="21"/>
          <w:lang w:val="en-US" w:eastAsia="zh-CN" w:bidi="ar-SA"/>
        </w:rPr>
        <w:t>各设区市机关事务管理部门</w:t>
      </w:r>
      <w:r>
        <w:rPr>
          <w:rFonts w:hint="eastAsia" w:hAnsi="Times New Roman" w:eastAsia="宋体" w:cs="Times New Roman"/>
          <w:sz w:val="21"/>
          <w:lang w:val="en-US" w:eastAsia="zh-CN" w:bidi="ar-SA"/>
        </w:rPr>
        <w:t>应结合本</w:t>
      </w:r>
      <w:r>
        <w:rPr>
          <w:rFonts w:hint="eastAsia" w:hAnsi="Times New Roman" w:eastAsia="宋体" w:cs="Times New Roman"/>
          <w:color w:val="auto"/>
          <w:sz w:val="21"/>
          <w:lang w:val="en-US" w:eastAsia="zh-CN" w:bidi="ar-SA"/>
        </w:rPr>
        <w:t>地区公务用车管理实际，本着高效节约原则，合理制定</w:t>
      </w:r>
      <w:r>
        <w:rPr>
          <w:rFonts w:hint="eastAsia" w:ascii="宋体" w:hAnsi="Times New Roman" w:eastAsia="宋体" w:cs="Times New Roman"/>
          <w:color w:val="auto"/>
          <w:sz w:val="21"/>
          <w:lang w:val="en-US" w:eastAsia="zh-CN" w:bidi="ar-SA"/>
        </w:rPr>
        <w:t>跨区域公务</w:t>
      </w:r>
      <w:r>
        <w:rPr>
          <w:rFonts w:hint="eastAsia" w:hAnsi="Times New Roman" w:eastAsia="宋体" w:cs="Times New Roman"/>
          <w:color w:val="auto"/>
          <w:sz w:val="21"/>
          <w:lang w:val="en-US" w:eastAsia="zh-CN" w:bidi="ar-SA"/>
        </w:rPr>
        <w:t>出行</w:t>
      </w:r>
      <w:r>
        <w:rPr>
          <w:rFonts w:hint="eastAsia" w:ascii="宋体" w:hAnsi="Times New Roman" w:eastAsia="宋体" w:cs="Times New Roman"/>
          <w:color w:val="auto"/>
          <w:sz w:val="21"/>
          <w:lang w:val="en-US" w:eastAsia="zh-CN" w:bidi="ar-SA"/>
        </w:rPr>
        <w:t>一体化保障</w:t>
      </w:r>
      <w:r>
        <w:rPr>
          <w:rFonts w:hint="eastAsia" w:hAnsi="Times New Roman" w:eastAsia="宋体" w:cs="Times New Roman"/>
          <w:color w:val="auto"/>
          <w:sz w:val="21"/>
          <w:lang w:val="en-US" w:eastAsia="zh-CN" w:bidi="ar-SA"/>
        </w:rPr>
        <w:t>服务收费标准。</w:t>
      </w:r>
    </w:p>
    <w:p w14:paraId="2E68F9FF">
      <w:pPr>
        <w:pStyle w:val="231"/>
        <w:ind w:left="0" w:leftChars="0" w:firstLine="0" w:firstLineChars="0"/>
        <w:rPr>
          <w:rFonts w:hint="eastAsia" w:hAnsi="Times New Roman" w:eastAsia="宋体" w:cs="Times New Roman"/>
          <w:color w:val="auto"/>
          <w:sz w:val="21"/>
          <w:lang w:val="en-US" w:eastAsia="zh-CN" w:bidi="ar-SA"/>
        </w:rPr>
      </w:pPr>
      <w:r>
        <w:rPr>
          <w:rFonts w:hint="eastAsia" w:ascii="黑体" w:hAnsi="Times New Roman" w:eastAsia="黑体" w:cs="Times New Roman"/>
          <w:color w:val="auto"/>
          <w:sz w:val="21"/>
          <w:szCs w:val="21"/>
          <w:lang w:val="en-US" w:eastAsia="zh-CN" w:bidi="ar-SA"/>
        </w:rPr>
        <w:t xml:space="preserve">6.4.2  </w:t>
      </w:r>
      <w:r>
        <w:rPr>
          <w:rFonts w:hint="eastAsia" w:hAnsi="Times New Roman" w:eastAsia="宋体" w:cs="Times New Roman"/>
          <w:color w:val="auto"/>
          <w:sz w:val="21"/>
          <w:lang w:val="en-US" w:eastAsia="zh-CN" w:bidi="ar-SA"/>
        </w:rPr>
        <w:t>使用各地区公务用车平台车辆的，用车结束后，用车单位根据系统产生的费用，与车辆保障单位进行线下结算；使用社会租赁车辆的，用车结束后，用车单位可通过平台或线下进行支付。</w:t>
      </w:r>
    </w:p>
    <w:p w14:paraId="6B125EDB">
      <w:pPr>
        <w:pStyle w:val="231"/>
        <w:ind w:left="0" w:leftChars="0" w:firstLine="0" w:firstLineChars="0"/>
        <w:rPr>
          <w:rFonts w:hint="eastAsia" w:hAnsi="Times New Roman" w:eastAsia="宋体" w:cs="Times New Roman"/>
          <w:color w:val="auto"/>
          <w:sz w:val="21"/>
          <w:lang w:val="en-US" w:eastAsia="zh-CN" w:bidi="ar-SA"/>
        </w:rPr>
      </w:pPr>
      <w:r>
        <w:rPr>
          <w:rFonts w:hint="eastAsia" w:ascii="黑体" w:hAnsi="Times New Roman" w:eastAsia="黑体" w:cs="Times New Roman"/>
          <w:color w:val="auto"/>
          <w:sz w:val="21"/>
          <w:szCs w:val="21"/>
          <w:lang w:val="en-US" w:eastAsia="zh-CN" w:bidi="ar-SA"/>
        </w:rPr>
        <w:t xml:space="preserve">6.4.3  </w:t>
      </w:r>
      <w:r>
        <w:rPr>
          <w:rFonts w:hint="eastAsia" w:ascii="宋体" w:hAnsi="Times New Roman" w:eastAsia="宋体" w:cs="Times New Roman"/>
          <w:color w:val="auto"/>
          <w:sz w:val="21"/>
          <w:lang w:val="en-US" w:eastAsia="zh-CN" w:bidi="ar-SA"/>
        </w:rPr>
        <w:t>跨区域公务</w:t>
      </w:r>
      <w:r>
        <w:rPr>
          <w:rFonts w:hint="eastAsia" w:hAnsi="Times New Roman" w:eastAsia="宋体" w:cs="Times New Roman"/>
          <w:color w:val="auto"/>
          <w:sz w:val="21"/>
          <w:lang w:val="en-US" w:eastAsia="zh-CN" w:bidi="ar-SA"/>
        </w:rPr>
        <w:t>出行</w:t>
      </w:r>
      <w:r>
        <w:rPr>
          <w:rFonts w:hint="eastAsia" w:ascii="宋体" w:hAnsi="Times New Roman" w:eastAsia="宋体" w:cs="Times New Roman"/>
          <w:color w:val="auto"/>
          <w:sz w:val="21"/>
          <w:lang w:val="en-US" w:eastAsia="zh-CN" w:bidi="ar-SA"/>
        </w:rPr>
        <w:t>一体化保障</w:t>
      </w:r>
      <w:r>
        <w:rPr>
          <w:rFonts w:hint="eastAsia" w:hAnsi="Times New Roman" w:eastAsia="宋体" w:cs="Times New Roman"/>
          <w:color w:val="auto"/>
          <w:sz w:val="21"/>
          <w:lang w:val="en-US" w:eastAsia="zh-CN" w:bidi="ar-SA"/>
        </w:rPr>
        <w:t>可采用一车一结、一事一结，也可采用双方认可的其他方式结算。</w:t>
      </w:r>
    </w:p>
    <w:p w14:paraId="5BEEA9E9">
      <w:pPr>
        <w:pStyle w:val="231"/>
        <w:ind w:left="0" w:leftChars="0" w:firstLine="0" w:firstLineChars="0"/>
        <w:rPr>
          <w:rFonts w:hint="default" w:hAnsi="Times New Roman" w:eastAsia="宋体" w:cs="Times New Roman"/>
          <w:color w:val="auto"/>
          <w:sz w:val="21"/>
          <w:lang w:val="en-US" w:eastAsia="zh-CN" w:bidi="ar-SA"/>
        </w:rPr>
      </w:pPr>
      <w:r>
        <w:rPr>
          <w:rFonts w:hint="eastAsia" w:ascii="黑体" w:hAnsi="黑体" w:eastAsia="黑体" w:cs="黑体"/>
          <w:color w:val="auto"/>
          <w:sz w:val="21"/>
          <w:lang w:val="en-US" w:eastAsia="zh-CN" w:bidi="ar-SA"/>
        </w:rPr>
        <w:t>6.4.4</w:t>
      </w:r>
      <w:r>
        <w:rPr>
          <w:rFonts w:hint="eastAsia" w:hAnsi="Times New Roman" w:eastAsia="宋体" w:cs="Times New Roman"/>
          <w:color w:val="auto"/>
          <w:sz w:val="21"/>
          <w:lang w:val="en-US" w:eastAsia="zh-CN" w:bidi="ar-SA"/>
        </w:rPr>
        <w:t xml:space="preserve">  跨区域公务出行一体化保障任务中，因交通事故、交通违章、第三者责任等产生的费用，由车辆保障单位或机构承担。</w:t>
      </w:r>
    </w:p>
    <w:p w14:paraId="0268BDA8">
      <w:pPr>
        <w:pStyle w:val="235"/>
        <w:numPr>
          <w:ilvl w:val="1"/>
          <w:numId w:val="0"/>
        </w:numPr>
        <w:bidi w:val="0"/>
        <w:ind w:leftChars="0"/>
        <w:rPr>
          <w:rFonts w:hint="eastAsia" w:hAnsi="Times New Roman" w:cs="Times New Roman"/>
          <w:lang w:val="en-US" w:eastAsia="zh-CN"/>
        </w:rPr>
      </w:pPr>
      <w:r>
        <w:rPr>
          <w:rFonts w:hint="eastAsia" w:cs="Times New Roman"/>
          <w:lang w:val="en-US" w:eastAsia="zh-CN"/>
        </w:rPr>
        <w:t>6.5</w:t>
      </w:r>
      <w:r>
        <w:rPr>
          <w:rFonts w:hint="eastAsia" w:hAnsi="Times New Roman" w:cs="Times New Roman"/>
          <w:lang w:val="en-US" w:eastAsia="zh-CN"/>
        </w:rPr>
        <w:t>统一监管</w:t>
      </w:r>
    </w:p>
    <w:p w14:paraId="5FD2F323">
      <w:pPr>
        <w:pStyle w:val="236"/>
        <w:numPr>
          <w:ilvl w:val="2"/>
          <w:numId w:val="0"/>
        </w:numPr>
        <w:bidi w:val="0"/>
        <w:ind w:leftChars="0"/>
        <w:rPr>
          <w:rFonts w:hint="eastAsia"/>
          <w:lang w:val="en-US" w:eastAsia="zh-CN"/>
        </w:rPr>
      </w:pPr>
      <w:r>
        <w:rPr>
          <w:rFonts w:hint="eastAsia"/>
          <w:lang w:val="en-US" w:eastAsia="zh-CN"/>
        </w:rPr>
        <w:t>6.5.1 线上</w:t>
      </w:r>
    </w:p>
    <w:p w14:paraId="0B3A9297">
      <w:pPr>
        <w:pStyle w:val="236"/>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全省公务用车信息化管理平台将通过数据统计、数据分析、轨迹跟踪、费用报表等功能模块，实施跨区域公务出行全程监督管理。</w:t>
      </w:r>
    </w:p>
    <w:p w14:paraId="4917BDA6">
      <w:pPr>
        <w:pStyle w:val="236"/>
        <w:numPr>
          <w:ilvl w:val="2"/>
          <w:numId w:val="0"/>
        </w:numPr>
        <w:bidi w:val="0"/>
        <w:ind w:leftChars="0"/>
        <w:rPr>
          <w:rFonts w:hint="eastAsia"/>
          <w:lang w:val="en-US" w:eastAsia="zh-CN"/>
        </w:rPr>
      </w:pPr>
      <w:r>
        <w:rPr>
          <w:rFonts w:hint="eastAsia"/>
          <w:lang w:val="en-US" w:eastAsia="zh-CN"/>
        </w:rPr>
        <w:t>6.5.2 线下</w:t>
      </w:r>
    </w:p>
    <w:p w14:paraId="76B4DF01">
      <w:pPr>
        <w:pStyle w:val="240"/>
        <w:numPr>
          <w:ilvl w:val="3"/>
          <w:numId w:val="0"/>
        </w:numPr>
        <w:bidi w:val="0"/>
        <w:ind w:leftChars="0"/>
        <w:rPr>
          <w:rFonts w:hint="eastAsia" w:ascii="宋体" w:hAnsi="宋体" w:eastAsia="宋体" w:cs="宋体"/>
          <w:sz w:val="21"/>
          <w:szCs w:val="21"/>
          <w:lang w:val="en-US" w:eastAsia="zh-CN" w:bidi="ar-SA"/>
        </w:rPr>
      </w:pPr>
      <w:r>
        <w:rPr>
          <w:rFonts w:hint="eastAsia" w:ascii="黑体" w:hAnsi="Times New Roman" w:eastAsia="黑体" w:cs="Times New Roman"/>
          <w:sz w:val="21"/>
          <w:szCs w:val="21"/>
          <w:lang w:val="en-US" w:eastAsia="zh-CN" w:bidi="ar-SA"/>
        </w:rPr>
        <w:t>6.5.2.1</w:t>
      </w:r>
      <w:r>
        <w:rPr>
          <w:rFonts w:hint="eastAsia" w:ascii="宋体" w:hAnsi="Times New Roman" w:eastAsia="宋体" w:cs="Times New Roman"/>
          <w:sz w:val="21"/>
          <w:lang w:val="en-US" w:eastAsia="zh-CN" w:bidi="ar-SA"/>
        </w:rPr>
        <w:t>各设区市机关事务管理部门</w:t>
      </w:r>
      <w:r>
        <w:rPr>
          <w:rFonts w:hint="eastAsia" w:ascii="宋体" w:hAnsi="宋体" w:eastAsia="宋体" w:cs="宋体"/>
          <w:sz w:val="21"/>
          <w:szCs w:val="21"/>
          <w:lang w:val="en-US" w:eastAsia="zh-CN" w:bidi="ar-SA"/>
        </w:rPr>
        <w:t>应做好跨区域公务出行保障情况的监督检查、抽查工作，将跨区域公务出行保障情况纳入本单位内部审计、政务公开和政务诚信范围，接收社会监督。</w:t>
      </w:r>
    </w:p>
    <w:p w14:paraId="3C29E502">
      <w:pPr>
        <w:pStyle w:val="240"/>
        <w:numPr>
          <w:ilvl w:val="3"/>
          <w:numId w:val="0"/>
        </w:numPr>
        <w:bidi w:val="0"/>
        <w:ind w:leftChars="0"/>
        <w:rPr>
          <w:rFonts w:hint="eastAsia"/>
          <w:lang w:val="en-US" w:eastAsia="zh-CN"/>
        </w:rPr>
      </w:pPr>
      <w:r>
        <w:rPr>
          <w:rFonts w:hint="eastAsia" w:ascii="黑体" w:hAnsi="Times New Roman" w:eastAsia="黑体" w:cs="Times New Roman"/>
          <w:sz w:val="21"/>
          <w:szCs w:val="21"/>
          <w:lang w:val="en-US" w:eastAsia="zh-CN" w:bidi="ar-SA"/>
        </w:rPr>
        <w:t>6.5.2.2</w:t>
      </w:r>
      <w:r>
        <w:rPr>
          <w:rFonts w:hint="eastAsia" w:ascii="宋体" w:hAnsi="Times New Roman" w:eastAsia="宋体" w:cs="Times New Roman"/>
          <w:sz w:val="21"/>
          <w:lang w:val="en-US" w:eastAsia="zh-CN" w:bidi="ar-SA"/>
        </w:rPr>
        <w:t>各设区市机关事务管理部门</w:t>
      </w:r>
      <w:r>
        <w:rPr>
          <w:rFonts w:hint="eastAsia" w:ascii="宋体" w:hAnsi="宋体" w:eastAsia="宋体" w:cs="宋体"/>
          <w:sz w:val="21"/>
          <w:szCs w:val="21"/>
          <w:lang w:val="en-US" w:eastAsia="zh-CN" w:bidi="ar-SA"/>
        </w:rPr>
        <w:t>发现保障过程中存在欺上瞒下、违纪违规等问题，应及时通报相关部门和纪检监察部门。</w:t>
      </w:r>
    </w:p>
    <w:p w14:paraId="1C90814E">
      <w:pPr>
        <w:pStyle w:val="231"/>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textAlignment w:val="auto"/>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7 保障要求</w:t>
      </w:r>
    </w:p>
    <w:p w14:paraId="0C139274">
      <w:pPr>
        <w:pStyle w:val="231"/>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7.1  车辆</w:t>
      </w:r>
    </w:p>
    <w:p w14:paraId="2EA887C1">
      <w:pPr>
        <w:pStyle w:val="231"/>
        <w:ind w:firstLine="0" w:firstLineChars="0"/>
      </w:pPr>
      <w:r>
        <w:rPr>
          <w:rFonts w:hint="eastAsia" w:ascii="黑体" w:hAnsi="Times New Roman" w:eastAsia="黑体" w:cs="Times New Roman"/>
          <w:sz w:val="21"/>
          <w:szCs w:val="21"/>
          <w:lang w:val="en-US" w:eastAsia="zh-CN" w:bidi="ar-SA"/>
        </w:rPr>
        <w:t xml:space="preserve">7.1.1 </w:t>
      </w:r>
      <w:r>
        <w:rPr>
          <w:rFonts w:hint="eastAsia" w:ascii="黑体" w:hAnsi="黑体" w:eastAsia="黑体" w:cs="黑体"/>
          <w:lang w:val="en-US" w:eastAsia="zh-CN"/>
        </w:rPr>
        <w:t xml:space="preserve"> </w:t>
      </w:r>
      <w:r>
        <w:rPr>
          <w:rFonts w:hint="eastAsia" w:hAnsi="宋体" w:cs="Times New Roman"/>
          <w:lang w:val="en-US" w:eastAsia="zh-CN"/>
        </w:rPr>
        <w:t>参与跨区域公务出行保障的平台</w:t>
      </w:r>
      <w:r>
        <w:rPr>
          <w:rFonts w:hint="eastAsia" w:hAnsi="宋体" w:eastAsia="宋体" w:cs="Times New Roman"/>
          <w:lang w:val="en-US" w:eastAsia="zh-CN"/>
        </w:rPr>
        <w:t>车辆和社会租赁车辆，均应纳入公务用车信息化管理平台，安装定位终端。</w:t>
      </w:r>
    </w:p>
    <w:bookmarkEnd w:id="16"/>
    <w:p w14:paraId="1829B1A9">
      <w:pPr>
        <w:pStyle w:val="231"/>
        <w:ind w:left="0" w:leftChars="0" w:firstLine="0" w:firstLineChars="0"/>
        <w:rPr>
          <w:rFonts w:hint="eastAsia" w:hAnsi="宋体" w:cs="Times New Roman"/>
          <w:lang w:val="en-US" w:eastAsia="zh-CN"/>
        </w:rPr>
      </w:pPr>
      <w:r>
        <w:rPr>
          <w:rFonts w:hint="eastAsia" w:ascii="黑体" w:hAnsi="黑体" w:eastAsia="黑体" w:cs="黑体"/>
          <w:lang w:val="en-US" w:eastAsia="zh-CN"/>
        </w:rPr>
        <w:t>7.1.2</w:t>
      </w:r>
      <w:r>
        <w:rPr>
          <w:rFonts w:hint="eastAsia" w:hAnsi="宋体" w:cs="Times New Roman"/>
          <w:lang w:val="en-US" w:eastAsia="zh-CN"/>
        </w:rPr>
        <w:t xml:space="preserve">  保证参与跨区域公务出行保障的平台</w:t>
      </w:r>
      <w:r>
        <w:rPr>
          <w:rFonts w:hint="eastAsia" w:hAnsi="宋体" w:eastAsia="宋体" w:cs="Times New Roman"/>
          <w:lang w:val="en-US" w:eastAsia="zh-CN"/>
        </w:rPr>
        <w:t>车辆和社会租赁车辆车型齐全。</w:t>
      </w:r>
    </w:p>
    <w:p w14:paraId="55D238AE">
      <w:pPr>
        <w:pStyle w:val="231"/>
        <w:ind w:left="0" w:leftChars="0" w:firstLine="0" w:firstLineChars="0"/>
        <w:rPr>
          <w:rFonts w:hint="default" w:ascii="黑体" w:hAnsi="Times New Roman" w:eastAsia="黑体" w:cs="Times New Roman"/>
          <w:sz w:val="21"/>
          <w:szCs w:val="21"/>
          <w:lang w:val="en-US" w:eastAsia="zh-CN" w:bidi="ar-SA"/>
        </w:rPr>
      </w:pPr>
      <w:r>
        <w:rPr>
          <w:rFonts w:hint="eastAsia" w:ascii="黑体" w:hAnsi="黑体" w:eastAsia="黑体" w:cs="黑体"/>
          <w:lang w:val="en-US" w:eastAsia="zh-CN"/>
        </w:rPr>
        <w:t xml:space="preserve">7.1.3  </w:t>
      </w:r>
      <w:r>
        <w:rPr>
          <w:rFonts w:hint="eastAsia" w:hAnsi="宋体" w:cs="Times New Roman"/>
          <w:lang w:val="en-US" w:eastAsia="zh-CN"/>
        </w:rPr>
        <w:t>所有车辆保持车况良好，车内外卫生干净、整洁。</w:t>
      </w:r>
    </w:p>
    <w:p w14:paraId="35689AB3">
      <w:pPr>
        <w:pStyle w:val="231"/>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7.2  人员</w:t>
      </w:r>
    </w:p>
    <w:p w14:paraId="35927FFA">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lang w:val="en-US" w:eastAsia="zh-CN"/>
        </w:rPr>
      </w:pPr>
      <w:r>
        <w:rPr>
          <w:rFonts w:hint="eastAsia" w:ascii="黑体" w:eastAsia="黑体" w:cs="Times New Roman"/>
          <w:color w:val="000000"/>
          <w:sz w:val="21"/>
          <w:lang w:val="en-US" w:eastAsia="zh-CN" w:bidi="ar-SA"/>
        </w:rPr>
        <w:t>7.2</w:t>
      </w:r>
      <w:r>
        <w:rPr>
          <w:rFonts w:hint="eastAsia" w:ascii="黑体" w:hAnsi="Times New Roman" w:eastAsia="黑体" w:cs="Times New Roman"/>
          <w:color w:val="000000"/>
          <w:sz w:val="21"/>
          <w:lang w:val="en-US" w:eastAsia="zh-CN" w:bidi="ar-SA"/>
        </w:rPr>
        <w:t>.1  车辆管理员</w:t>
      </w:r>
    </w:p>
    <w:p w14:paraId="65BAB823">
      <w:pPr>
        <w:pStyle w:val="231"/>
        <w:ind w:left="0" w:leftChars="0" w:firstLine="0" w:firstLineChars="0"/>
        <w:rPr>
          <w:rFonts w:hint="eastAsia"/>
          <w:lang w:val="en-US" w:eastAsia="zh-CN"/>
        </w:rPr>
      </w:pPr>
      <w:r>
        <w:rPr>
          <w:rFonts w:hint="eastAsia" w:ascii="黑体" w:hAnsi="黑体" w:eastAsia="黑体" w:cs="黑体"/>
          <w:lang w:val="en-US" w:eastAsia="zh-CN"/>
        </w:rPr>
        <w:t>7.2.1.1</w:t>
      </w:r>
      <w:r>
        <w:rPr>
          <w:rFonts w:hint="eastAsia"/>
          <w:lang w:val="en-US" w:eastAsia="zh-CN"/>
        </w:rPr>
        <w:t xml:space="preserve">  做好车辆日常管理，确保车辆的统筹调配和正常运转。</w:t>
      </w:r>
    </w:p>
    <w:p w14:paraId="58177E61">
      <w:pPr>
        <w:pStyle w:val="231"/>
        <w:ind w:left="0" w:leftChars="0" w:firstLine="0" w:firstLineChars="0"/>
        <w:rPr>
          <w:rFonts w:hint="default"/>
          <w:lang w:val="en-US" w:eastAsia="zh-CN"/>
        </w:rPr>
      </w:pPr>
      <w:r>
        <w:rPr>
          <w:rFonts w:hint="eastAsia" w:ascii="黑体" w:hAnsi="黑体" w:eastAsia="黑体" w:cs="黑体"/>
          <w:lang w:val="en-US" w:eastAsia="zh-CN"/>
        </w:rPr>
        <w:t>7.2.1.2</w:t>
      </w:r>
      <w:r>
        <w:rPr>
          <w:rFonts w:hint="eastAsia"/>
          <w:lang w:val="en-US" w:eastAsia="zh-CN"/>
        </w:rPr>
        <w:t xml:space="preserve">  负责做好跨区域公务出行保障工作中可能出现的突发情况时应急处置。</w:t>
      </w:r>
    </w:p>
    <w:p w14:paraId="6FA2CDA5">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ascii="黑体" w:hAnsi="Times New Roman" w:eastAsia="黑体" w:cs="Times New Roman"/>
          <w:color w:val="000000"/>
          <w:sz w:val="21"/>
          <w:lang w:val="en-US" w:eastAsia="zh-CN" w:bidi="ar-SA"/>
        </w:rPr>
      </w:pPr>
      <w:r>
        <w:rPr>
          <w:rFonts w:hint="eastAsia" w:ascii="黑体" w:eastAsia="黑体" w:cs="Times New Roman"/>
          <w:color w:val="000000"/>
          <w:sz w:val="21"/>
          <w:lang w:val="en-US" w:eastAsia="zh-CN" w:bidi="ar-SA"/>
        </w:rPr>
        <w:t>7.2.2</w:t>
      </w:r>
      <w:r>
        <w:rPr>
          <w:rFonts w:hint="eastAsia" w:ascii="黑体" w:hAnsi="Times New Roman" w:eastAsia="黑体" w:cs="Times New Roman"/>
          <w:color w:val="000000"/>
          <w:sz w:val="21"/>
          <w:lang w:val="en-US" w:eastAsia="zh-CN" w:bidi="ar-SA"/>
        </w:rPr>
        <w:t xml:space="preserve">  </w:t>
      </w:r>
      <w:r>
        <w:rPr>
          <w:rFonts w:hint="eastAsia" w:ascii="黑体" w:eastAsia="黑体" w:cs="Times New Roman"/>
          <w:color w:val="000000"/>
          <w:sz w:val="21"/>
          <w:lang w:val="en-US" w:eastAsia="zh-CN" w:bidi="ar-SA"/>
        </w:rPr>
        <w:t>车辆</w:t>
      </w:r>
      <w:r>
        <w:rPr>
          <w:rFonts w:hint="eastAsia" w:ascii="黑体" w:hAnsi="Times New Roman" w:eastAsia="黑体" w:cs="Times New Roman"/>
          <w:color w:val="000000"/>
          <w:sz w:val="21"/>
          <w:lang w:val="en-US" w:eastAsia="zh-CN" w:bidi="ar-SA"/>
        </w:rPr>
        <w:t>调度员</w:t>
      </w:r>
    </w:p>
    <w:p w14:paraId="351729DA">
      <w:pPr>
        <w:pStyle w:val="231"/>
        <w:ind w:left="0" w:leftChars="0" w:firstLine="0" w:firstLineChars="0"/>
        <w:rPr>
          <w:rFonts w:hint="eastAsia" w:hAnsi="宋体" w:eastAsia="宋体" w:cs="Times New Roman"/>
          <w:lang w:val="en-US" w:eastAsia="zh-CN"/>
        </w:rPr>
      </w:pPr>
      <w:r>
        <w:rPr>
          <w:rFonts w:hint="eastAsia" w:ascii="黑体" w:hAnsi="黑体" w:eastAsia="黑体" w:cs="黑体"/>
          <w:lang w:val="en-US" w:eastAsia="zh-CN"/>
        </w:rPr>
        <w:t>7.2.2.1</w:t>
      </w:r>
      <w:r>
        <w:rPr>
          <w:rFonts w:hint="eastAsia"/>
          <w:lang w:val="en-US" w:eastAsia="zh-CN"/>
        </w:rPr>
        <w:t xml:space="preserve">  </w:t>
      </w:r>
      <w:r>
        <w:rPr>
          <w:rFonts w:hint="eastAsia" w:hAnsi="宋体" w:eastAsia="宋体" w:cs="Times New Roman"/>
          <w:lang w:val="en-US" w:eastAsia="zh-CN"/>
        </w:rPr>
        <w:t>负责承办跨区域公务出行保障服务的申请、审批、调度等</w:t>
      </w:r>
      <w:r>
        <w:rPr>
          <w:rFonts w:hint="eastAsia" w:hAnsi="宋体" w:cs="Times New Roman"/>
          <w:lang w:val="en-US" w:eastAsia="zh-CN"/>
        </w:rPr>
        <w:t>工作</w:t>
      </w:r>
      <w:r>
        <w:rPr>
          <w:rFonts w:hint="eastAsia" w:hAnsi="宋体" w:eastAsia="宋体" w:cs="Times New Roman"/>
          <w:lang w:val="en-US" w:eastAsia="zh-CN"/>
        </w:rPr>
        <w:t xml:space="preserve">。 </w:t>
      </w:r>
    </w:p>
    <w:p w14:paraId="35F86C79">
      <w:pPr>
        <w:pStyle w:val="231"/>
        <w:ind w:left="0" w:leftChars="0" w:firstLine="0" w:firstLineChars="0"/>
        <w:rPr>
          <w:rFonts w:hint="default"/>
          <w:lang w:val="en-US" w:eastAsia="zh-CN"/>
        </w:rPr>
      </w:pPr>
      <w:r>
        <w:rPr>
          <w:rFonts w:hint="eastAsia" w:ascii="黑体" w:hAnsi="黑体" w:eastAsia="黑体" w:cs="黑体"/>
          <w:lang w:val="en-US" w:eastAsia="zh-CN"/>
        </w:rPr>
        <w:t>7.2.2.2</w:t>
      </w:r>
      <w:r>
        <w:rPr>
          <w:rFonts w:hint="eastAsia"/>
          <w:lang w:val="en-US" w:eastAsia="zh-CN"/>
        </w:rPr>
        <w:t xml:space="preserve">  应当掌握区域内车辆使用情况，做好车辆的统筹调度工作。</w:t>
      </w:r>
    </w:p>
    <w:p w14:paraId="63BDCFAA">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ascii="宋体" w:hAnsi="宋体" w:eastAsia="宋体" w:cs="Times New Roman"/>
          <w:sz w:val="21"/>
          <w:lang w:val="en-US" w:eastAsia="zh-CN" w:bidi="ar-SA"/>
        </w:rPr>
      </w:pPr>
      <w:r>
        <w:rPr>
          <w:rFonts w:hint="eastAsia" w:ascii="黑体" w:eastAsia="黑体" w:cs="Times New Roman"/>
          <w:color w:val="000000"/>
          <w:sz w:val="21"/>
          <w:lang w:val="en-US" w:eastAsia="zh-CN" w:bidi="ar-SA"/>
        </w:rPr>
        <w:t>7.2</w:t>
      </w:r>
      <w:r>
        <w:rPr>
          <w:rFonts w:hint="eastAsia" w:ascii="黑体" w:hAnsi="Times New Roman" w:eastAsia="黑体" w:cs="Times New Roman"/>
          <w:color w:val="000000"/>
          <w:sz w:val="21"/>
          <w:lang w:val="en-US" w:eastAsia="zh-CN" w:bidi="ar-SA"/>
        </w:rPr>
        <w:t xml:space="preserve">.3  </w:t>
      </w:r>
      <w:r>
        <w:rPr>
          <w:rFonts w:hint="eastAsia" w:ascii="黑体" w:hAnsi="Times New Roman" w:eastAsia="黑体" w:cs="Times New Roman"/>
          <w:sz w:val="21"/>
          <w:szCs w:val="21"/>
          <w:lang w:val="en-US" w:eastAsia="zh-CN" w:bidi="ar-SA"/>
        </w:rPr>
        <w:t>驾驶员</w:t>
      </w:r>
      <w:r>
        <w:rPr>
          <w:rFonts w:hint="eastAsia" w:ascii="宋体" w:hAnsi="宋体" w:eastAsia="宋体" w:cs="Times New Roman"/>
          <w:sz w:val="21"/>
          <w:lang w:val="en-US" w:eastAsia="zh-CN" w:bidi="ar-SA"/>
        </w:rPr>
        <w:t xml:space="preserve"> </w:t>
      </w:r>
    </w:p>
    <w:p w14:paraId="20F045B6">
      <w:pPr>
        <w:pStyle w:val="231"/>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7.2.3.1</w:t>
      </w:r>
      <w:r>
        <w:rPr>
          <w:rFonts w:hint="eastAsia" w:ascii="宋体" w:hAnsi="宋体" w:eastAsia="宋体" w:cs="Times New Roman"/>
          <w:sz w:val="21"/>
          <w:lang w:val="en-US" w:eastAsia="zh-CN" w:bidi="ar-SA"/>
        </w:rPr>
        <w:t xml:space="preserve">  </w:t>
      </w:r>
      <w:r>
        <w:rPr>
          <w:rFonts w:hint="default" w:ascii="宋体" w:hAnsi="宋体" w:eastAsia="宋体" w:cs="Times New Roman"/>
          <w:sz w:val="21"/>
          <w:lang w:val="en-US" w:eastAsia="zh-CN" w:bidi="ar-SA"/>
        </w:rPr>
        <w:t>具有良好的服务意识和职业道德，树立“安全、满意、规范、高效”的服务理念</w:t>
      </w:r>
      <w:r>
        <w:rPr>
          <w:rFonts w:hint="eastAsia" w:hAnsi="宋体" w:cs="Times New Roman"/>
          <w:sz w:val="21"/>
          <w:lang w:val="en-US" w:eastAsia="zh-CN" w:bidi="ar-SA"/>
        </w:rPr>
        <w:t>，爱岗敬业，</w:t>
      </w:r>
      <w:r>
        <w:rPr>
          <w:rFonts w:hint="eastAsia" w:ascii="宋体" w:hAnsi="宋体" w:eastAsia="宋体" w:cs="Times New Roman"/>
          <w:sz w:val="21"/>
          <w:lang w:val="en-US" w:eastAsia="zh-CN" w:bidi="ar-SA"/>
        </w:rPr>
        <w:t>文明行车。</w:t>
      </w:r>
    </w:p>
    <w:p w14:paraId="48DEEF1B">
      <w:pPr>
        <w:pStyle w:val="231"/>
        <w:ind w:left="0" w:leftChars="0" w:firstLine="0" w:firstLineChars="0"/>
        <w:rPr>
          <w:rFonts w:hint="default" w:hAnsi="Times New Roman" w:eastAsia="宋体" w:cs="Times New Roman"/>
          <w:sz w:val="21"/>
          <w:lang w:val="en-US" w:eastAsia="zh-CN" w:bidi="ar-SA"/>
        </w:rPr>
      </w:pPr>
      <w:r>
        <w:rPr>
          <w:rFonts w:hint="eastAsia" w:ascii="黑体" w:hAnsi="黑体" w:eastAsia="黑体" w:cs="黑体"/>
          <w:lang w:val="en-US" w:eastAsia="zh-CN"/>
        </w:rPr>
        <w:t xml:space="preserve">7.2.3.2 </w:t>
      </w:r>
      <w:r>
        <w:rPr>
          <w:rFonts w:hint="eastAsia" w:hAnsi="宋体" w:cs="Times New Roman"/>
          <w:sz w:val="21"/>
          <w:lang w:val="en-US" w:eastAsia="zh-CN" w:bidi="ar-SA"/>
        </w:rPr>
        <w:t xml:space="preserve"> </w:t>
      </w:r>
      <w:r>
        <w:rPr>
          <w:rFonts w:hint="eastAsia" w:hAnsi="宋体" w:cs="Times New Roman"/>
          <w:color w:val="auto"/>
          <w:sz w:val="21"/>
          <w:lang w:val="en-US" w:eastAsia="zh-CN" w:bidi="ar-SA"/>
        </w:rPr>
        <w:t>遵守道路交通安全法律法规，听从指挥、服从调度，服从用车单位的工作安排。</w:t>
      </w:r>
      <w:r>
        <w:rPr>
          <w:rFonts w:hint="eastAsia" w:hAnsi="宋体" w:cs="Times New Roman"/>
          <w:color w:val="C00000"/>
          <w:sz w:val="21"/>
          <w:lang w:val="en-US" w:eastAsia="zh-CN" w:bidi="ar-SA"/>
        </w:rPr>
        <w:t xml:space="preserve"> </w:t>
      </w:r>
    </w:p>
    <w:p w14:paraId="763E6A47">
      <w:pPr>
        <w:pStyle w:val="231"/>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textAlignment w:val="auto"/>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8  持续改进</w:t>
      </w:r>
    </w:p>
    <w:p w14:paraId="41281F11">
      <w:pPr>
        <w:pStyle w:val="231"/>
        <w:ind w:left="0" w:leftChars="0" w:firstLine="0" w:firstLineChars="0"/>
        <w:rPr>
          <w:rFonts w:hint="eastAsia" w:ascii="宋体" w:hAnsi="Times New Roman" w:eastAsia="宋体" w:cs="Times New Roman"/>
          <w:color w:val="auto"/>
          <w:sz w:val="21"/>
          <w:lang w:val="en-US" w:eastAsia="zh-CN" w:bidi="ar-SA"/>
        </w:rPr>
      </w:pPr>
      <w:r>
        <w:rPr>
          <w:rFonts w:hint="eastAsia" w:ascii="黑体" w:hAnsi="黑体" w:eastAsia="黑体" w:cs="黑体"/>
          <w:color w:val="auto"/>
          <w:lang w:val="en-US" w:eastAsia="zh-CN"/>
        </w:rPr>
        <w:t>8.1</w:t>
      </w:r>
      <w:r>
        <w:rPr>
          <w:rFonts w:hint="eastAsia" w:ascii="宋体" w:hAnsi="Times New Roman" w:eastAsia="宋体" w:cs="Times New Roman"/>
          <w:color w:val="auto"/>
          <w:sz w:val="21"/>
          <w:lang w:val="en-US" w:eastAsia="zh-CN" w:bidi="ar-SA"/>
        </w:rPr>
        <w:t xml:space="preserve">  </w:t>
      </w:r>
      <w:r>
        <w:rPr>
          <w:rFonts w:hint="eastAsia" w:hAnsi="Times New Roman" w:eastAsia="宋体" w:cs="Times New Roman"/>
          <w:color w:val="auto"/>
          <w:sz w:val="21"/>
          <w:lang w:val="en-US" w:eastAsia="zh-CN" w:bidi="ar-SA"/>
        </w:rPr>
        <w:t>各设区市机关事务管理部门</w:t>
      </w:r>
      <w:r>
        <w:rPr>
          <w:rFonts w:hint="eastAsia" w:ascii="宋体" w:hAnsi="Times New Roman" w:eastAsia="宋体" w:cs="Times New Roman"/>
          <w:color w:val="auto"/>
          <w:sz w:val="21"/>
          <w:lang w:val="en-US" w:eastAsia="zh-CN" w:bidi="ar-SA"/>
        </w:rPr>
        <w:t>应</w:t>
      </w:r>
      <w:r>
        <w:rPr>
          <w:rFonts w:hint="eastAsia" w:hAnsi="Times New Roman" w:eastAsia="宋体" w:cs="Times New Roman"/>
          <w:color w:val="auto"/>
          <w:sz w:val="21"/>
          <w:lang w:val="en-US" w:eastAsia="zh-CN" w:bidi="ar-SA"/>
        </w:rPr>
        <w:t>定期开展跨区域公务出行一体化保障服务考核与评价，</w:t>
      </w:r>
      <w:r>
        <w:rPr>
          <w:rFonts w:hint="eastAsia" w:ascii="宋体" w:hAnsi="Times New Roman" w:eastAsia="宋体" w:cs="Times New Roman"/>
          <w:color w:val="auto"/>
          <w:sz w:val="21"/>
          <w:lang w:val="en-US" w:eastAsia="zh-CN" w:bidi="ar-SA"/>
        </w:rPr>
        <w:t>解决一体化保障出行服务出现的问题</w:t>
      </w:r>
      <w:r>
        <w:rPr>
          <w:rFonts w:hint="eastAsia" w:hAnsi="Times New Roman" w:eastAsia="宋体" w:cs="Times New Roman"/>
          <w:color w:val="auto"/>
          <w:sz w:val="21"/>
          <w:lang w:val="en-US" w:eastAsia="zh-CN" w:bidi="ar-SA"/>
        </w:rPr>
        <w:t>，处理投诉与建议。</w:t>
      </w:r>
    </w:p>
    <w:p w14:paraId="5DD73C27">
      <w:pPr>
        <w:pStyle w:val="231"/>
        <w:ind w:left="0" w:leftChars="0" w:firstLine="0" w:firstLineChars="0"/>
        <w:rPr>
          <w:rFonts w:hint="eastAsia" w:hAnsi="Times New Roman" w:eastAsia="宋体" w:cs="Times New Roman"/>
          <w:color w:val="auto"/>
          <w:sz w:val="21"/>
          <w:lang w:val="en-US" w:eastAsia="zh-CN" w:bidi="ar-SA"/>
        </w:rPr>
      </w:pPr>
      <w:r>
        <w:rPr>
          <w:rFonts w:hint="eastAsia" w:ascii="黑体" w:hAnsi="黑体" w:eastAsia="黑体" w:cs="黑体"/>
          <w:color w:val="auto"/>
          <w:lang w:val="en-US" w:eastAsia="zh-CN"/>
        </w:rPr>
        <w:t>8.2</w:t>
      </w:r>
      <w:r>
        <w:rPr>
          <w:rFonts w:hint="eastAsia" w:hAnsi="Times New Roman" w:eastAsia="宋体" w:cs="Times New Roman"/>
          <w:color w:val="auto"/>
          <w:sz w:val="21"/>
          <w:lang w:val="en-US" w:eastAsia="zh-CN" w:bidi="ar-SA"/>
        </w:rPr>
        <w:t xml:space="preserve">  各设区市机关事务管理部门应定期对社会车辆租赁机构进行考核，确保社会租赁车辆保障的服务车辆车况良好、服务质量优质高效、服务价格公开透明。</w:t>
      </w:r>
    </w:p>
    <w:p w14:paraId="777B9EEF">
      <w:pPr>
        <w:pStyle w:val="231"/>
        <w:ind w:left="0" w:leftChars="0" w:firstLine="0" w:firstLineChars="0"/>
        <w:rPr>
          <w:rFonts w:hint="eastAsia" w:hAnsi="Times New Roman" w:eastAsia="宋体" w:cs="Times New Roman"/>
          <w:color w:val="auto"/>
          <w:sz w:val="21"/>
          <w:lang w:val="en-US" w:eastAsia="zh-CN" w:bidi="ar-SA"/>
        </w:rPr>
      </w:pPr>
      <w:r>
        <w:rPr>
          <w:rFonts w:hint="eastAsia" w:ascii="黑体" w:hAnsi="黑体" w:eastAsia="黑体" w:cs="黑体"/>
          <w:color w:val="auto"/>
          <w:lang w:val="en-US" w:eastAsia="zh-CN"/>
        </w:rPr>
        <w:t xml:space="preserve">8.3  </w:t>
      </w:r>
      <w:r>
        <w:rPr>
          <w:rFonts w:hint="eastAsia" w:hAnsi="Times New Roman" w:eastAsia="宋体" w:cs="Times New Roman"/>
          <w:color w:val="auto"/>
          <w:sz w:val="21"/>
          <w:lang w:val="en-US" w:eastAsia="zh-CN" w:bidi="ar-SA"/>
        </w:rPr>
        <w:t>各设区市机关事务管理部门应联合本地区财政、审计、纪检监察部门，做好跨区域</w:t>
      </w:r>
      <w:r>
        <w:rPr>
          <w:rFonts w:hint="eastAsia" w:ascii="宋体" w:hAnsi="Times New Roman" w:eastAsia="宋体" w:cs="Times New Roman"/>
          <w:color w:val="auto"/>
          <w:sz w:val="21"/>
          <w:lang w:val="en-US" w:eastAsia="zh-CN" w:bidi="ar-SA"/>
        </w:rPr>
        <w:t>公务出行一体化保障</w:t>
      </w:r>
      <w:r>
        <w:rPr>
          <w:rFonts w:hint="eastAsia" w:hAnsi="Times New Roman" w:eastAsia="宋体" w:cs="Times New Roman"/>
          <w:color w:val="auto"/>
          <w:sz w:val="21"/>
          <w:lang w:val="en-US" w:eastAsia="zh-CN" w:bidi="ar-SA"/>
        </w:rPr>
        <w:t>过程中的经费结算和监督检查工作，持续改进完善。</w:t>
      </w:r>
    </w:p>
    <w:p w14:paraId="158998C3">
      <w:pPr>
        <w:pStyle w:val="56"/>
        <w:ind w:firstLine="0" w:firstLineChars="0"/>
        <w:jc w:val="both"/>
      </w:pPr>
    </w:p>
    <w:p w14:paraId="02E7A97C">
      <w:pPr>
        <w:pStyle w:val="56"/>
        <w:ind w:firstLine="0" w:firstLineChars="0"/>
        <w:jc w:val="both"/>
      </w:pPr>
    </w:p>
    <w:p w14:paraId="77F1A7DA">
      <w:pPr>
        <w:pStyle w:val="56"/>
        <w:ind w:firstLine="0" w:firstLineChars="0"/>
        <w:jc w:val="both"/>
      </w:pPr>
    </w:p>
    <w:p w14:paraId="6FB4BAC5">
      <w:pPr>
        <w:pStyle w:val="56"/>
        <w:ind w:firstLine="0" w:firstLineChars="0"/>
        <w:jc w:val="both"/>
      </w:pPr>
    </w:p>
    <w:p w14:paraId="726D72F4">
      <w:pPr>
        <w:pStyle w:val="56"/>
        <w:ind w:firstLine="0" w:firstLineChars="0"/>
        <w:jc w:val="both"/>
      </w:pPr>
    </w:p>
    <w:p w14:paraId="3E622041">
      <w:pPr>
        <w:pStyle w:val="56"/>
        <w:ind w:firstLine="0" w:firstLineChars="0"/>
        <w:jc w:val="both"/>
      </w:pPr>
    </w:p>
    <w:p w14:paraId="5B26B511">
      <w:pPr>
        <w:pStyle w:val="56"/>
        <w:ind w:firstLine="0" w:firstLineChars="0"/>
        <w:jc w:val="both"/>
      </w:pPr>
    </w:p>
    <w:p w14:paraId="6505A923">
      <w:pPr>
        <w:pStyle w:val="56"/>
        <w:ind w:firstLine="0" w:firstLineChars="0"/>
        <w:jc w:val="both"/>
      </w:pPr>
    </w:p>
    <w:p w14:paraId="5753169C">
      <w:pPr>
        <w:pStyle w:val="56"/>
        <w:ind w:firstLine="0" w:firstLineChars="0"/>
        <w:jc w:val="both"/>
      </w:pPr>
    </w:p>
    <w:p w14:paraId="4E0549EF">
      <w:pPr>
        <w:pStyle w:val="56"/>
        <w:ind w:firstLine="0" w:firstLineChars="0"/>
        <w:jc w:val="both"/>
      </w:pPr>
    </w:p>
    <w:p w14:paraId="3E185AD9">
      <w:pPr>
        <w:pStyle w:val="56"/>
        <w:ind w:firstLine="0" w:firstLineChars="0"/>
        <w:jc w:val="both"/>
      </w:pPr>
    </w:p>
    <w:p w14:paraId="7B20637E">
      <w:pPr>
        <w:pStyle w:val="56"/>
        <w:ind w:firstLine="0" w:firstLineChars="0"/>
        <w:jc w:val="both"/>
      </w:pPr>
    </w:p>
    <w:p w14:paraId="1343A121">
      <w:pPr>
        <w:pStyle w:val="76"/>
        <w:keepNext w:val="0"/>
        <w:keepLines w:val="0"/>
        <w:pageBreakBefore w:val="0"/>
        <w:widowControl/>
        <w:kinsoku/>
        <w:wordWrap/>
        <w:overflowPunct/>
        <w:topLinePunct w:val="0"/>
        <w:autoSpaceDE/>
        <w:autoSpaceDN/>
        <w:bidi w:val="0"/>
        <w:adjustRightInd/>
        <w:snapToGrid/>
        <w:spacing w:before="10" w:after="156"/>
        <w:textAlignment w:val="auto"/>
        <w:rPr>
          <w:color w:val="000000"/>
        </w:rPr>
      </w:pPr>
    </w:p>
    <w:p w14:paraId="76ED415C">
      <w:pPr>
        <w:pStyle w:val="76"/>
        <w:keepNext w:val="0"/>
        <w:keepLines w:val="0"/>
        <w:pageBreakBefore w:val="0"/>
        <w:widowControl/>
        <w:numPr>
          <w:ilvl w:val="0"/>
          <w:numId w:val="0"/>
        </w:numPr>
        <w:kinsoku/>
        <w:wordWrap/>
        <w:overflowPunct/>
        <w:topLinePunct w:val="0"/>
        <w:autoSpaceDE/>
        <w:autoSpaceDN/>
        <w:bidi w:val="0"/>
        <w:adjustRightInd/>
        <w:snapToGrid/>
        <w:spacing w:before="10" w:after="156"/>
        <w:ind w:leftChars="0"/>
        <w:jc w:val="center"/>
        <w:textAlignment w:val="auto"/>
        <w:rPr>
          <w:color w:val="000000"/>
        </w:rPr>
      </w:pPr>
      <w:r>
        <w:rPr>
          <w:rFonts w:hint="eastAsia"/>
          <w:color w:val="000000"/>
        </w:rPr>
        <w:t>（</w:t>
      </w:r>
      <w:r>
        <w:rPr>
          <w:rFonts w:hint="eastAsia"/>
          <w:color w:val="000000"/>
          <w:lang w:eastAsia="zh-CN"/>
        </w:rPr>
        <w:t>资料</w:t>
      </w:r>
      <w:r>
        <w:rPr>
          <w:rFonts w:hint="eastAsia"/>
          <w:color w:val="000000"/>
        </w:rPr>
        <w:t>性）</w:t>
      </w:r>
    </w:p>
    <w:p w14:paraId="660CF381">
      <w:pPr>
        <w:pStyle w:val="76"/>
        <w:keepNext w:val="0"/>
        <w:keepLines w:val="0"/>
        <w:pageBreakBefore w:val="0"/>
        <w:widowControl/>
        <w:numPr>
          <w:ilvl w:val="0"/>
          <w:numId w:val="0"/>
        </w:numPr>
        <w:kinsoku/>
        <w:wordWrap/>
        <w:overflowPunct/>
        <w:topLinePunct w:val="0"/>
        <w:autoSpaceDE/>
        <w:autoSpaceDN/>
        <w:bidi w:val="0"/>
        <w:adjustRightInd/>
        <w:snapToGrid/>
        <w:spacing w:before="10" w:after="156"/>
        <w:ind w:leftChars="0"/>
        <w:jc w:val="center"/>
        <w:textAlignment w:val="auto"/>
        <w:rPr>
          <w:color w:val="000000"/>
        </w:rPr>
      </w:pPr>
      <w:r>
        <w:rPr>
          <w:rFonts w:hint="eastAsia"/>
          <w:color w:val="000000"/>
          <w:lang w:eastAsia="zh-CN"/>
        </w:rPr>
        <w:t>跨区域公务出行一体化保障用车申请表</w:t>
      </w:r>
    </w:p>
    <w:p w14:paraId="296DA274">
      <w:pPr>
        <w:pStyle w:val="56"/>
        <w:ind w:firstLine="420"/>
        <w:rPr>
          <w:color w:val="000000"/>
        </w:rPr>
      </w:pPr>
      <w:r>
        <w:rPr>
          <w:rFonts w:hint="eastAsia"/>
          <w:color w:val="000000"/>
          <w:lang w:eastAsia="zh-CN"/>
        </w:rPr>
        <w:t>跨区域公务出行一体化保障申请表</w:t>
      </w:r>
      <w:r>
        <w:rPr>
          <w:color w:val="000000"/>
        </w:rPr>
        <w:t>见表</w:t>
      </w:r>
      <w:r>
        <w:rPr>
          <w:rFonts w:hint="eastAsia"/>
          <w:color w:val="000000"/>
        </w:rPr>
        <w:t>A</w:t>
      </w:r>
      <w:r>
        <w:rPr>
          <w:color w:val="000000"/>
        </w:rPr>
        <w:t>.1</w:t>
      </w:r>
      <w:r>
        <w:rPr>
          <w:rFonts w:hint="eastAsia"/>
          <w:color w:val="000000"/>
        </w:rPr>
        <w:t>。</w:t>
      </w:r>
    </w:p>
    <w:p w14:paraId="092B999C">
      <w:pPr>
        <w:pStyle w:val="77"/>
        <w:numPr>
          <w:ilvl w:val="1"/>
          <w:numId w:val="0"/>
        </w:numPr>
        <w:spacing w:before="156" w:after="156"/>
        <w:ind w:left="0" w:leftChars="0" w:firstLine="0" w:firstLineChars="0"/>
        <w:rPr>
          <w:color w:val="000000"/>
        </w:rPr>
      </w:pPr>
      <w:r>
        <w:rPr>
          <w:rFonts w:hint="eastAsia" w:ascii="黑体" w:hAnsi="Times New Roman" w:eastAsia="黑体" w:cs="Times New Roman"/>
          <w:color w:val="000000"/>
          <w:kern w:val="21"/>
          <w:sz w:val="21"/>
          <w:lang w:val="en-US" w:eastAsia="zh-CN" w:bidi="ar-SA"/>
        </w:rPr>
        <w:t>表A.1</w:t>
      </w:r>
      <w:r>
        <w:rPr>
          <w:rFonts w:hint="eastAsia"/>
          <w:color w:val="000000"/>
          <w:lang w:eastAsia="zh-CN"/>
        </w:rPr>
        <w:t>跨区域公务出行一体化保障用车申请表</w:t>
      </w:r>
    </w:p>
    <w:p w14:paraId="1DB7E76C">
      <w:pPr>
        <w:pStyle w:val="231"/>
        <w:ind w:left="0" w:leftChars="0" w:firstLine="0" w:firstLineChars="0"/>
        <w:jc w:val="center"/>
        <w:rPr>
          <w:rFonts w:hint="eastAsia" w:ascii="黑体" w:hAnsi="黑体" w:eastAsia="黑体" w:cs="黑体"/>
          <w:kern w:val="0"/>
          <w:sz w:val="18"/>
          <w:szCs w:val="18"/>
          <w:lang w:val="en-US" w:eastAsia="zh-CN" w:bidi="ar-SA"/>
        </w:rPr>
      </w:pPr>
    </w:p>
    <w:tbl>
      <w:tblPr>
        <w:tblStyle w:val="26"/>
        <w:tblW w:w="946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50"/>
        <w:gridCol w:w="2126"/>
        <w:gridCol w:w="6"/>
        <w:gridCol w:w="2545"/>
        <w:gridCol w:w="2837"/>
      </w:tblGrid>
      <w:tr w14:paraId="3E672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5" w:hRule="atLeast"/>
        </w:trPr>
        <w:tc>
          <w:tcPr>
            <w:tcW w:w="1950" w:type="dxa"/>
            <w:noWrap w:val="0"/>
            <w:vAlign w:val="center"/>
          </w:tcPr>
          <w:p w14:paraId="4B72C6A9">
            <w:pPr>
              <w:spacing w:line="400" w:lineRule="exact"/>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用车单位</w:t>
            </w:r>
          </w:p>
        </w:tc>
        <w:tc>
          <w:tcPr>
            <w:tcW w:w="7514" w:type="dxa"/>
            <w:gridSpan w:val="4"/>
            <w:tcBorders>
              <w:right w:val="single" w:color="auto" w:sz="4" w:space="0"/>
            </w:tcBorders>
            <w:noWrap w:val="0"/>
            <w:vAlign w:val="center"/>
          </w:tcPr>
          <w:p w14:paraId="571B44F1">
            <w:pPr>
              <w:spacing w:line="400" w:lineRule="exact"/>
              <w:jc w:val="center"/>
              <w:rPr>
                <w:rFonts w:hint="eastAsia" w:ascii="宋体" w:hAnsi="宋体" w:eastAsia="宋体" w:cs="宋体"/>
                <w:sz w:val="18"/>
                <w:szCs w:val="18"/>
              </w:rPr>
            </w:pPr>
          </w:p>
          <w:p w14:paraId="009E9CF1">
            <w:pPr>
              <w:spacing w:line="400" w:lineRule="exact"/>
              <w:jc w:val="both"/>
              <w:rPr>
                <w:rFonts w:hint="eastAsia" w:ascii="宋体" w:hAnsi="宋体" w:eastAsia="宋体" w:cs="宋体"/>
                <w:sz w:val="18"/>
                <w:szCs w:val="18"/>
              </w:rPr>
            </w:pPr>
          </w:p>
        </w:tc>
      </w:tr>
      <w:tr w14:paraId="3FEF81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4" w:hRule="atLeast"/>
        </w:trPr>
        <w:tc>
          <w:tcPr>
            <w:tcW w:w="1950" w:type="dxa"/>
            <w:noWrap w:val="0"/>
            <w:vAlign w:val="center"/>
          </w:tcPr>
          <w:p w14:paraId="583B8E1A">
            <w:pPr>
              <w:spacing w:line="400" w:lineRule="exact"/>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用车事由</w:t>
            </w:r>
          </w:p>
        </w:tc>
        <w:tc>
          <w:tcPr>
            <w:tcW w:w="7514" w:type="dxa"/>
            <w:gridSpan w:val="4"/>
            <w:tcBorders>
              <w:right w:val="single" w:color="auto" w:sz="4" w:space="0"/>
            </w:tcBorders>
            <w:noWrap w:val="0"/>
            <w:vAlign w:val="center"/>
          </w:tcPr>
          <w:p w14:paraId="5414C7CD">
            <w:pPr>
              <w:spacing w:line="400" w:lineRule="exact"/>
              <w:jc w:val="center"/>
              <w:rPr>
                <w:rFonts w:hint="eastAsia" w:ascii="宋体" w:hAnsi="宋体" w:eastAsia="宋体" w:cs="宋体"/>
                <w:sz w:val="18"/>
                <w:szCs w:val="18"/>
              </w:rPr>
            </w:pPr>
          </w:p>
        </w:tc>
      </w:tr>
      <w:tr w14:paraId="30B15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trPr>
        <w:tc>
          <w:tcPr>
            <w:tcW w:w="1950" w:type="dxa"/>
            <w:tcBorders>
              <w:bottom w:val="single" w:color="auto" w:sz="4" w:space="0"/>
              <w:right w:val="single" w:color="auto" w:sz="4" w:space="0"/>
            </w:tcBorders>
            <w:noWrap w:val="0"/>
            <w:vAlign w:val="center"/>
          </w:tcPr>
          <w:p w14:paraId="6E2FC4FE">
            <w:pPr>
              <w:spacing w:line="400" w:lineRule="exact"/>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联系人</w:t>
            </w:r>
          </w:p>
        </w:tc>
        <w:tc>
          <w:tcPr>
            <w:tcW w:w="2126" w:type="dxa"/>
            <w:tcBorders>
              <w:bottom w:val="single" w:color="auto" w:sz="4" w:space="0"/>
              <w:right w:val="single" w:color="auto" w:sz="4" w:space="0"/>
            </w:tcBorders>
            <w:noWrap w:val="0"/>
            <w:vAlign w:val="center"/>
          </w:tcPr>
          <w:p w14:paraId="6C4504B1">
            <w:pPr>
              <w:spacing w:line="400" w:lineRule="exact"/>
              <w:jc w:val="center"/>
              <w:rPr>
                <w:rFonts w:hint="eastAsia" w:ascii="宋体" w:hAnsi="宋体" w:eastAsia="宋体" w:cs="宋体"/>
                <w:sz w:val="18"/>
                <w:szCs w:val="18"/>
              </w:rPr>
            </w:pPr>
          </w:p>
        </w:tc>
        <w:tc>
          <w:tcPr>
            <w:tcW w:w="2551" w:type="dxa"/>
            <w:gridSpan w:val="2"/>
            <w:tcBorders>
              <w:bottom w:val="single" w:color="auto" w:sz="4" w:space="0"/>
              <w:right w:val="single" w:color="auto" w:sz="4" w:space="0"/>
            </w:tcBorders>
            <w:noWrap w:val="0"/>
            <w:vAlign w:val="center"/>
          </w:tcPr>
          <w:p w14:paraId="4A959748">
            <w:pPr>
              <w:spacing w:line="40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联系人手机号</w:t>
            </w:r>
          </w:p>
        </w:tc>
        <w:tc>
          <w:tcPr>
            <w:tcW w:w="2837" w:type="dxa"/>
            <w:tcBorders>
              <w:bottom w:val="single" w:color="auto" w:sz="4" w:space="0"/>
              <w:right w:val="single" w:color="auto" w:sz="4" w:space="0"/>
            </w:tcBorders>
            <w:noWrap w:val="0"/>
            <w:vAlign w:val="center"/>
          </w:tcPr>
          <w:p w14:paraId="1E828D7C">
            <w:pPr>
              <w:spacing w:line="400" w:lineRule="exact"/>
              <w:jc w:val="center"/>
              <w:rPr>
                <w:rFonts w:hint="eastAsia" w:ascii="宋体" w:hAnsi="宋体" w:eastAsia="宋体" w:cs="宋体"/>
                <w:sz w:val="18"/>
                <w:szCs w:val="18"/>
              </w:rPr>
            </w:pPr>
          </w:p>
        </w:tc>
      </w:tr>
      <w:tr w14:paraId="01B707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trPr>
        <w:tc>
          <w:tcPr>
            <w:tcW w:w="1950" w:type="dxa"/>
            <w:tcBorders>
              <w:top w:val="single" w:color="auto" w:sz="4" w:space="0"/>
              <w:bottom w:val="single" w:color="auto" w:sz="4" w:space="0"/>
              <w:right w:val="single" w:color="auto" w:sz="4" w:space="0"/>
            </w:tcBorders>
            <w:noWrap w:val="0"/>
            <w:vAlign w:val="center"/>
          </w:tcPr>
          <w:p w14:paraId="56BD4BAF">
            <w:pPr>
              <w:spacing w:line="400" w:lineRule="exact"/>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用车人</w:t>
            </w:r>
          </w:p>
        </w:tc>
        <w:tc>
          <w:tcPr>
            <w:tcW w:w="2132" w:type="dxa"/>
            <w:gridSpan w:val="2"/>
            <w:tcBorders>
              <w:top w:val="single" w:color="auto" w:sz="4" w:space="0"/>
              <w:bottom w:val="single" w:color="auto" w:sz="4" w:space="0"/>
              <w:right w:val="single" w:color="auto" w:sz="4" w:space="0"/>
            </w:tcBorders>
            <w:noWrap w:val="0"/>
            <w:vAlign w:val="center"/>
          </w:tcPr>
          <w:p w14:paraId="6C2D906A">
            <w:pPr>
              <w:spacing w:line="400" w:lineRule="exact"/>
              <w:jc w:val="center"/>
              <w:rPr>
                <w:rFonts w:hint="eastAsia" w:ascii="宋体" w:hAnsi="宋体" w:eastAsia="宋体" w:cs="宋体"/>
                <w:sz w:val="18"/>
                <w:szCs w:val="18"/>
              </w:rPr>
            </w:pPr>
          </w:p>
        </w:tc>
        <w:tc>
          <w:tcPr>
            <w:tcW w:w="2545" w:type="dxa"/>
            <w:tcBorders>
              <w:top w:val="single" w:color="auto" w:sz="4" w:space="0"/>
              <w:bottom w:val="single" w:color="auto" w:sz="4" w:space="0"/>
              <w:right w:val="single" w:color="auto" w:sz="4" w:space="0"/>
            </w:tcBorders>
            <w:noWrap w:val="0"/>
            <w:vAlign w:val="center"/>
          </w:tcPr>
          <w:p w14:paraId="0260CC00">
            <w:pPr>
              <w:spacing w:line="40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用车人手机号</w:t>
            </w:r>
          </w:p>
        </w:tc>
        <w:tc>
          <w:tcPr>
            <w:tcW w:w="2837" w:type="dxa"/>
            <w:tcBorders>
              <w:top w:val="single" w:color="auto" w:sz="4" w:space="0"/>
              <w:bottom w:val="single" w:color="auto" w:sz="4" w:space="0"/>
              <w:right w:val="single" w:color="auto" w:sz="4" w:space="0"/>
            </w:tcBorders>
            <w:noWrap w:val="0"/>
            <w:vAlign w:val="center"/>
          </w:tcPr>
          <w:p w14:paraId="1FD93A68">
            <w:pPr>
              <w:spacing w:line="400" w:lineRule="exact"/>
              <w:jc w:val="center"/>
              <w:rPr>
                <w:rFonts w:hint="eastAsia" w:ascii="宋体" w:hAnsi="宋体" w:eastAsia="宋体" w:cs="宋体"/>
                <w:sz w:val="18"/>
                <w:szCs w:val="18"/>
              </w:rPr>
            </w:pPr>
          </w:p>
        </w:tc>
      </w:tr>
      <w:tr w14:paraId="7818F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trPr>
        <w:tc>
          <w:tcPr>
            <w:tcW w:w="1950" w:type="dxa"/>
            <w:tcBorders>
              <w:top w:val="single" w:color="auto" w:sz="4" w:space="0"/>
              <w:bottom w:val="single" w:color="auto" w:sz="4" w:space="0"/>
              <w:right w:val="single" w:color="auto" w:sz="4" w:space="0"/>
            </w:tcBorders>
            <w:noWrap w:val="0"/>
            <w:vAlign w:val="center"/>
          </w:tcPr>
          <w:p w14:paraId="46127ED8">
            <w:pPr>
              <w:spacing w:line="400" w:lineRule="exact"/>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报到地点</w:t>
            </w:r>
          </w:p>
        </w:tc>
        <w:tc>
          <w:tcPr>
            <w:tcW w:w="2132" w:type="dxa"/>
            <w:gridSpan w:val="2"/>
            <w:tcBorders>
              <w:top w:val="single" w:color="auto" w:sz="4" w:space="0"/>
              <w:bottom w:val="single" w:color="auto" w:sz="4" w:space="0"/>
              <w:right w:val="single" w:color="auto" w:sz="4" w:space="0"/>
            </w:tcBorders>
            <w:noWrap w:val="0"/>
            <w:vAlign w:val="center"/>
          </w:tcPr>
          <w:p w14:paraId="19533601">
            <w:pPr>
              <w:spacing w:line="400" w:lineRule="exact"/>
              <w:jc w:val="center"/>
              <w:rPr>
                <w:rFonts w:hint="eastAsia" w:ascii="宋体" w:hAnsi="宋体" w:eastAsia="宋体" w:cs="宋体"/>
                <w:sz w:val="18"/>
                <w:szCs w:val="18"/>
              </w:rPr>
            </w:pPr>
          </w:p>
        </w:tc>
        <w:tc>
          <w:tcPr>
            <w:tcW w:w="2545" w:type="dxa"/>
            <w:tcBorders>
              <w:top w:val="single" w:color="auto" w:sz="4" w:space="0"/>
              <w:bottom w:val="single" w:color="auto" w:sz="4" w:space="0"/>
              <w:right w:val="single" w:color="auto" w:sz="4" w:space="0"/>
            </w:tcBorders>
            <w:noWrap w:val="0"/>
            <w:vAlign w:val="center"/>
          </w:tcPr>
          <w:p w14:paraId="62DA4A76">
            <w:pPr>
              <w:spacing w:line="400" w:lineRule="exact"/>
              <w:jc w:val="center"/>
              <w:rPr>
                <w:rFonts w:hint="eastAsia" w:ascii="宋体" w:hAnsi="宋体" w:eastAsia="宋体" w:cs="宋体"/>
                <w:sz w:val="18"/>
                <w:szCs w:val="18"/>
              </w:rPr>
            </w:pPr>
            <w:r>
              <w:rPr>
                <w:rFonts w:hint="eastAsia" w:ascii="宋体" w:hAnsi="宋体" w:eastAsia="宋体" w:cs="宋体"/>
                <w:sz w:val="18"/>
                <w:szCs w:val="18"/>
              </w:rPr>
              <w:t>目的地</w:t>
            </w:r>
          </w:p>
        </w:tc>
        <w:tc>
          <w:tcPr>
            <w:tcW w:w="2837" w:type="dxa"/>
            <w:tcBorders>
              <w:top w:val="single" w:color="auto" w:sz="4" w:space="0"/>
              <w:bottom w:val="single" w:color="auto" w:sz="4" w:space="0"/>
              <w:right w:val="single" w:color="auto" w:sz="4" w:space="0"/>
            </w:tcBorders>
            <w:noWrap w:val="0"/>
            <w:vAlign w:val="center"/>
          </w:tcPr>
          <w:p w14:paraId="33B037A3">
            <w:pPr>
              <w:spacing w:line="400" w:lineRule="exact"/>
              <w:jc w:val="center"/>
              <w:rPr>
                <w:rFonts w:hint="eastAsia" w:ascii="宋体" w:hAnsi="宋体" w:eastAsia="宋体" w:cs="宋体"/>
                <w:sz w:val="18"/>
                <w:szCs w:val="18"/>
              </w:rPr>
            </w:pPr>
          </w:p>
        </w:tc>
      </w:tr>
      <w:tr w14:paraId="5A0CF8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trPr>
        <w:tc>
          <w:tcPr>
            <w:tcW w:w="1950" w:type="dxa"/>
            <w:tcBorders>
              <w:top w:val="single" w:color="auto" w:sz="4" w:space="0"/>
              <w:bottom w:val="single" w:color="auto" w:sz="4" w:space="0"/>
              <w:right w:val="single" w:color="auto" w:sz="4" w:space="0"/>
            </w:tcBorders>
            <w:noWrap w:val="0"/>
            <w:vAlign w:val="center"/>
          </w:tcPr>
          <w:p w14:paraId="0F6919B7">
            <w:pPr>
              <w:spacing w:line="400" w:lineRule="exact"/>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报到时间</w:t>
            </w:r>
          </w:p>
        </w:tc>
        <w:tc>
          <w:tcPr>
            <w:tcW w:w="2132" w:type="dxa"/>
            <w:gridSpan w:val="2"/>
            <w:tcBorders>
              <w:top w:val="single" w:color="auto" w:sz="4" w:space="0"/>
              <w:bottom w:val="single" w:color="auto" w:sz="4" w:space="0"/>
              <w:right w:val="single" w:color="auto" w:sz="4" w:space="0"/>
            </w:tcBorders>
            <w:noWrap w:val="0"/>
            <w:vAlign w:val="center"/>
          </w:tcPr>
          <w:p w14:paraId="4C271241">
            <w:pPr>
              <w:spacing w:line="400" w:lineRule="exact"/>
              <w:jc w:val="center"/>
              <w:rPr>
                <w:rFonts w:hint="eastAsia" w:ascii="宋体" w:hAnsi="宋体" w:eastAsia="宋体" w:cs="宋体"/>
                <w:sz w:val="18"/>
                <w:szCs w:val="18"/>
              </w:rPr>
            </w:pPr>
          </w:p>
        </w:tc>
        <w:tc>
          <w:tcPr>
            <w:tcW w:w="2545" w:type="dxa"/>
            <w:tcBorders>
              <w:top w:val="single" w:color="auto" w:sz="4" w:space="0"/>
              <w:bottom w:val="single" w:color="auto" w:sz="4" w:space="0"/>
              <w:right w:val="single" w:color="auto" w:sz="4" w:space="0"/>
            </w:tcBorders>
            <w:noWrap w:val="0"/>
            <w:vAlign w:val="center"/>
          </w:tcPr>
          <w:p w14:paraId="5FE1A2CD">
            <w:pPr>
              <w:spacing w:line="40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预计回场时间</w:t>
            </w:r>
          </w:p>
        </w:tc>
        <w:tc>
          <w:tcPr>
            <w:tcW w:w="2837" w:type="dxa"/>
            <w:tcBorders>
              <w:top w:val="single" w:color="auto" w:sz="4" w:space="0"/>
              <w:bottom w:val="single" w:color="auto" w:sz="4" w:space="0"/>
              <w:right w:val="single" w:color="auto" w:sz="4" w:space="0"/>
            </w:tcBorders>
            <w:noWrap w:val="0"/>
            <w:vAlign w:val="center"/>
          </w:tcPr>
          <w:p w14:paraId="718FC61D">
            <w:pPr>
              <w:spacing w:line="400" w:lineRule="exact"/>
              <w:jc w:val="center"/>
              <w:rPr>
                <w:rFonts w:hint="eastAsia" w:ascii="宋体" w:hAnsi="宋体" w:eastAsia="宋体" w:cs="宋体"/>
                <w:sz w:val="18"/>
                <w:szCs w:val="18"/>
              </w:rPr>
            </w:pPr>
          </w:p>
        </w:tc>
      </w:tr>
      <w:tr w14:paraId="4DA3E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trPr>
        <w:tc>
          <w:tcPr>
            <w:tcW w:w="1950" w:type="dxa"/>
            <w:tcBorders>
              <w:bottom w:val="single" w:color="auto" w:sz="4" w:space="0"/>
            </w:tcBorders>
            <w:noWrap w:val="0"/>
            <w:vAlign w:val="center"/>
          </w:tcPr>
          <w:p w14:paraId="2B3B100B">
            <w:pPr>
              <w:spacing w:line="400" w:lineRule="exact"/>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用车人数</w:t>
            </w:r>
          </w:p>
        </w:tc>
        <w:tc>
          <w:tcPr>
            <w:tcW w:w="2126" w:type="dxa"/>
            <w:tcBorders>
              <w:bottom w:val="single" w:color="auto" w:sz="4" w:space="0"/>
              <w:right w:val="single" w:color="auto" w:sz="4" w:space="0"/>
            </w:tcBorders>
            <w:noWrap w:val="0"/>
            <w:vAlign w:val="center"/>
          </w:tcPr>
          <w:p w14:paraId="3822AC79">
            <w:pPr>
              <w:spacing w:line="400" w:lineRule="exact"/>
              <w:jc w:val="center"/>
              <w:rPr>
                <w:rFonts w:hint="eastAsia" w:ascii="宋体" w:hAnsi="宋体" w:eastAsia="宋体" w:cs="宋体"/>
                <w:sz w:val="18"/>
                <w:szCs w:val="18"/>
              </w:rPr>
            </w:pPr>
          </w:p>
        </w:tc>
        <w:tc>
          <w:tcPr>
            <w:tcW w:w="2551" w:type="dxa"/>
            <w:gridSpan w:val="2"/>
            <w:tcBorders>
              <w:left w:val="single" w:color="auto" w:sz="4" w:space="0"/>
              <w:bottom w:val="single" w:color="auto" w:sz="4" w:space="0"/>
            </w:tcBorders>
            <w:noWrap w:val="0"/>
            <w:vAlign w:val="center"/>
          </w:tcPr>
          <w:p w14:paraId="2EE04EA6">
            <w:pPr>
              <w:spacing w:line="40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用车时长</w:t>
            </w:r>
          </w:p>
        </w:tc>
        <w:tc>
          <w:tcPr>
            <w:tcW w:w="2837" w:type="dxa"/>
            <w:tcBorders>
              <w:bottom w:val="single" w:color="auto" w:sz="4" w:space="0"/>
              <w:right w:val="single" w:color="auto" w:sz="4" w:space="0"/>
            </w:tcBorders>
            <w:noWrap w:val="0"/>
            <w:vAlign w:val="center"/>
          </w:tcPr>
          <w:p w14:paraId="54942115">
            <w:pPr>
              <w:spacing w:line="400" w:lineRule="exact"/>
              <w:jc w:val="center"/>
              <w:rPr>
                <w:rFonts w:hint="eastAsia" w:ascii="宋体" w:hAnsi="宋体" w:eastAsia="宋体" w:cs="宋体"/>
                <w:sz w:val="18"/>
                <w:szCs w:val="18"/>
              </w:rPr>
            </w:pPr>
          </w:p>
        </w:tc>
      </w:tr>
      <w:tr w14:paraId="50F0F4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4" w:hRule="atLeast"/>
        </w:trPr>
        <w:tc>
          <w:tcPr>
            <w:tcW w:w="1950" w:type="dxa"/>
            <w:tcBorders>
              <w:top w:val="single" w:color="auto" w:sz="4" w:space="0"/>
            </w:tcBorders>
            <w:noWrap w:val="0"/>
            <w:vAlign w:val="center"/>
          </w:tcPr>
          <w:p w14:paraId="6905FC32">
            <w:pPr>
              <w:spacing w:line="400" w:lineRule="exact"/>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车辆保障单位</w:t>
            </w:r>
          </w:p>
        </w:tc>
        <w:tc>
          <w:tcPr>
            <w:tcW w:w="7514" w:type="dxa"/>
            <w:gridSpan w:val="4"/>
            <w:tcBorders>
              <w:top w:val="single" w:color="auto" w:sz="4" w:space="0"/>
              <w:right w:val="single" w:color="auto" w:sz="4" w:space="0"/>
            </w:tcBorders>
            <w:noWrap w:val="0"/>
            <w:vAlign w:val="center"/>
          </w:tcPr>
          <w:p w14:paraId="68A08609">
            <w:pPr>
              <w:spacing w:line="400" w:lineRule="exact"/>
              <w:jc w:val="center"/>
              <w:rPr>
                <w:rFonts w:hint="eastAsia" w:ascii="宋体" w:hAnsi="宋体" w:eastAsia="宋体" w:cs="宋体"/>
                <w:sz w:val="18"/>
                <w:szCs w:val="18"/>
              </w:rPr>
            </w:pPr>
          </w:p>
          <w:p w14:paraId="65712C87">
            <w:pPr>
              <w:spacing w:line="400" w:lineRule="exact"/>
              <w:jc w:val="both"/>
              <w:rPr>
                <w:rFonts w:hint="eastAsia" w:ascii="宋体" w:hAnsi="宋体" w:eastAsia="宋体" w:cs="宋体"/>
                <w:sz w:val="18"/>
                <w:szCs w:val="18"/>
              </w:rPr>
            </w:pPr>
          </w:p>
          <w:p w14:paraId="60D74EBA">
            <w:pPr>
              <w:spacing w:line="400" w:lineRule="exact"/>
              <w:jc w:val="center"/>
              <w:rPr>
                <w:rFonts w:hint="eastAsia" w:ascii="宋体" w:hAnsi="宋体" w:eastAsia="宋体" w:cs="宋体"/>
                <w:sz w:val="18"/>
                <w:szCs w:val="18"/>
              </w:rPr>
            </w:pPr>
          </w:p>
        </w:tc>
      </w:tr>
      <w:tr w14:paraId="63A1C7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7" w:hRule="atLeast"/>
        </w:trPr>
        <w:tc>
          <w:tcPr>
            <w:tcW w:w="1950" w:type="dxa"/>
            <w:tcBorders>
              <w:bottom w:val="single" w:color="auto" w:sz="4" w:space="0"/>
            </w:tcBorders>
            <w:noWrap w:val="0"/>
            <w:vAlign w:val="center"/>
          </w:tcPr>
          <w:p w14:paraId="4CD6781D">
            <w:pPr>
              <w:spacing w:line="400" w:lineRule="exact"/>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车型选择</w:t>
            </w:r>
          </w:p>
        </w:tc>
        <w:tc>
          <w:tcPr>
            <w:tcW w:w="7514" w:type="dxa"/>
            <w:gridSpan w:val="4"/>
            <w:tcBorders>
              <w:bottom w:val="single" w:color="auto" w:sz="4" w:space="0"/>
              <w:right w:val="single" w:color="auto" w:sz="4" w:space="0"/>
            </w:tcBorders>
            <w:noWrap w:val="0"/>
            <w:vAlign w:val="center"/>
          </w:tcPr>
          <w:p w14:paraId="258C2044">
            <w:pPr>
              <w:spacing w:line="400" w:lineRule="exact"/>
              <w:jc w:val="center"/>
              <w:rPr>
                <w:rFonts w:hint="eastAsia" w:ascii="宋体" w:hAnsi="宋体" w:eastAsia="宋体" w:cs="宋体"/>
                <w:sz w:val="18"/>
                <w:szCs w:val="18"/>
              </w:rPr>
            </w:pPr>
          </w:p>
          <w:p w14:paraId="2F4A615C">
            <w:pPr>
              <w:spacing w:line="400" w:lineRule="exact"/>
              <w:jc w:val="center"/>
              <w:rPr>
                <w:rFonts w:hint="eastAsia" w:ascii="宋体" w:hAnsi="宋体" w:eastAsia="宋体" w:cs="宋体"/>
                <w:sz w:val="18"/>
                <w:szCs w:val="18"/>
              </w:rPr>
            </w:pPr>
          </w:p>
          <w:p w14:paraId="5BC65F50">
            <w:pPr>
              <w:spacing w:line="400" w:lineRule="exact"/>
              <w:jc w:val="center"/>
              <w:rPr>
                <w:rFonts w:hint="eastAsia" w:ascii="宋体" w:hAnsi="宋体" w:eastAsia="宋体" w:cs="宋体"/>
                <w:sz w:val="18"/>
                <w:szCs w:val="18"/>
              </w:rPr>
            </w:pPr>
          </w:p>
        </w:tc>
      </w:tr>
      <w:tr w14:paraId="2F0112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4" w:hRule="atLeast"/>
        </w:trPr>
        <w:tc>
          <w:tcPr>
            <w:tcW w:w="1950" w:type="dxa"/>
            <w:tcBorders>
              <w:top w:val="single" w:color="auto" w:sz="4" w:space="0"/>
            </w:tcBorders>
            <w:noWrap w:val="0"/>
            <w:vAlign w:val="center"/>
          </w:tcPr>
          <w:p w14:paraId="64FF7B5C">
            <w:pPr>
              <w:spacing w:line="400" w:lineRule="exact"/>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备</w:t>
            </w:r>
            <w:r>
              <w:rPr>
                <w:rFonts w:hint="eastAsia" w:ascii="宋体" w:hAnsi="宋体" w:cs="宋体"/>
                <w:b w:val="0"/>
                <w:bCs w:val="0"/>
                <w:sz w:val="18"/>
                <w:szCs w:val="18"/>
                <w:lang w:val="en-US" w:eastAsia="zh-CN"/>
              </w:rPr>
              <w:t xml:space="preserve"> </w:t>
            </w:r>
            <w:r>
              <w:rPr>
                <w:rFonts w:hint="eastAsia" w:ascii="宋体" w:hAnsi="宋体" w:eastAsia="宋体" w:cs="宋体"/>
                <w:b w:val="0"/>
                <w:bCs w:val="0"/>
                <w:sz w:val="18"/>
                <w:szCs w:val="18"/>
              </w:rPr>
              <w:t>　注</w:t>
            </w:r>
          </w:p>
        </w:tc>
        <w:tc>
          <w:tcPr>
            <w:tcW w:w="7514" w:type="dxa"/>
            <w:gridSpan w:val="4"/>
            <w:tcBorders>
              <w:top w:val="single" w:color="auto" w:sz="4" w:space="0"/>
              <w:right w:val="single" w:color="auto" w:sz="4" w:space="0"/>
            </w:tcBorders>
            <w:noWrap w:val="0"/>
            <w:vAlign w:val="center"/>
          </w:tcPr>
          <w:p w14:paraId="08CDDDAB">
            <w:pPr>
              <w:spacing w:line="400" w:lineRule="exact"/>
              <w:jc w:val="center"/>
              <w:rPr>
                <w:rFonts w:hint="eastAsia" w:ascii="宋体" w:hAnsi="宋体" w:eastAsia="宋体" w:cs="宋体"/>
                <w:sz w:val="18"/>
                <w:szCs w:val="18"/>
              </w:rPr>
            </w:pPr>
          </w:p>
          <w:p w14:paraId="3407FA6C">
            <w:pPr>
              <w:spacing w:line="400" w:lineRule="exact"/>
              <w:jc w:val="center"/>
              <w:rPr>
                <w:rFonts w:hint="eastAsia" w:ascii="宋体" w:hAnsi="宋体" w:eastAsia="宋体" w:cs="宋体"/>
                <w:sz w:val="18"/>
                <w:szCs w:val="18"/>
              </w:rPr>
            </w:pPr>
          </w:p>
          <w:p w14:paraId="57149F08">
            <w:pPr>
              <w:spacing w:line="400" w:lineRule="exact"/>
              <w:jc w:val="center"/>
              <w:rPr>
                <w:rFonts w:hint="eastAsia" w:ascii="宋体" w:hAnsi="宋体" w:eastAsia="宋体" w:cs="宋体"/>
                <w:sz w:val="18"/>
                <w:szCs w:val="18"/>
              </w:rPr>
            </w:pPr>
          </w:p>
        </w:tc>
      </w:tr>
    </w:tbl>
    <w:p w14:paraId="273B374B">
      <w:pPr>
        <w:pStyle w:val="56"/>
      </w:pPr>
    </w:p>
    <w:p w14:paraId="5520525C">
      <w:pPr>
        <w:pStyle w:val="198"/>
        <w:rPr>
          <w:vanish w:val="0"/>
          <w:color w:val="000000"/>
        </w:rPr>
      </w:pPr>
    </w:p>
    <w:p w14:paraId="7D0885D3">
      <w:pPr>
        <w:pStyle w:val="56"/>
        <w:ind w:left="0" w:leftChars="0" w:firstLine="0" w:firstLineChars="0"/>
        <w:rPr>
          <w:color w:val="000000"/>
        </w:rPr>
      </w:pPr>
    </w:p>
    <w:p w14:paraId="36272EC3">
      <w:pPr>
        <w:pStyle w:val="56"/>
        <w:ind w:left="0" w:leftChars="0" w:firstLine="0" w:firstLineChars="0"/>
        <w:rPr>
          <w:color w:val="000000"/>
        </w:rPr>
      </w:pPr>
    </w:p>
    <w:p w14:paraId="7595F396">
      <w:pPr>
        <w:pStyle w:val="237"/>
        <w:jc w:val="center"/>
        <w:rPr>
          <w:rFonts w:hint="eastAsia"/>
        </w:rPr>
      </w:pPr>
      <w:bookmarkStart w:id="46" w:name="BKCKWX"/>
      <w:bookmarkStart w:id="47" w:name="_Toc129162471"/>
      <w:r>
        <w:rPr>
          <w:rFonts w:hint="eastAsia"/>
        </w:rPr>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46"/>
      <w:bookmarkEnd w:id="47"/>
    </w:p>
    <w:p w14:paraId="58B1294C">
      <w:pPr>
        <w:numPr>
          <w:ilvl w:val="0"/>
          <w:numId w:val="33"/>
        </w:numPr>
        <w:ind w:firstLine="420" w:firstLineChars="200"/>
        <w:rPr>
          <w:rFonts w:hint="eastAsia"/>
        </w:rPr>
      </w:pPr>
      <w:r>
        <w:rPr>
          <w:rFonts w:hint="eastAsia"/>
        </w:rPr>
        <w:t>党政机关公务用车管理办法（中办发〔2017〕71 号）</w:t>
      </w:r>
    </w:p>
    <w:p w14:paraId="3724F3ED">
      <w:pPr>
        <w:numPr>
          <w:ilvl w:val="0"/>
          <w:numId w:val="33"/>
        </w:numPr>
        <w:ind w:firstLine="420" w:firstLineChars="200"/>
        <w:rPr>
          <w:rFonts w:hint="eastAsia"/>
          <w:color w:val="auto"/>
        </w:rPr>
      </w:pPr>
      <w:r>
        <w:rPr>
          <w:rFonts w:hint="eastAsia"/>
          <w:color w:val="auto"/>
          <w:lang w:eastAsia="zh-CN"/>
        </w:rPr>
        <w:t>党政机关国内公务接待管理规定（</w:t>
      </w:r>
      <w:r>
        <w:rPr>
          <w:rFonts w:hint="eastAsia"/>
          <w:color w:val="auto"/>
        </w:rPr>
        <w:t>中办发〔201</w:t>
      </w:r>
      <w:r>
        <w:rPr>
          <w:rFonts w:hint="eastAsia"/>
          <w:color w:val="auto"/>
          <w:lang w:val="en-US" w:eastAsia="zh-CN"/>
        </w:rPr>
        <w:t>3</w:t>
      </w:r>
      <w:r>
        <w:rPr>
          <w:rFonts w:hint="eastAsia"/>
          <w:color w:val="auto"/>
        </w:rPr>
        <w:t>〕</w:t>
      </w:r>
      <w:r>
        <w:rPr>
          <w:rFonts w:hint="eastAsia"/>
          <w:color w:val="auto"/>
          <w:lang w:val="en-US" w:eastAsia="zh-CN"/>
        </w:rPr>
        <w:t>22</w:t>
      </w:r>
      <w:r>
        <w:rPr>
          <w:rFonts w:hint="eastAsia"/>
          <w:color w:val="auto"/>
        </w:rPr>
        <w:t xml:space="preserve"> 号</w:t>
      </w:r>
      <w:r>
        <w:rPr>
          <w:rFonts w:hint="eastAsia"/>
          <w:color w:val="auto"/>
          <w:lang w:eastAsia="zh-CN"/>
        </w:rPr>
        <w:t>）</w:t>
      </w:r>
    </w:p>
    <w:p w14:paraId="5FCEBE73">
      <w:pPr>
        <w:numPr>
          <w:ilvl w:val="0"/>
          <w:numId w:val="33"/>
        </w:numPr>
        <w:ind w:firstLine="420" w:firstLineChars="200"/>
        <w:rPr>
          <w:rFonts w:hint="eastAsia"/>
          <w:color w:val="auto"/>
        </w:rPr>
      </w:pPr>
      <w:r>
        <w:rPr>
          <w:rFonts w:hint="eastAsia"/>
          <w:color w:val="auto"/>
          <w:lang w:eastAsia="zh-CN"/>
        </w:rPr>
        <w:t>机关事务管理条例（中华人民共和国国务院令第621号）</w:t>
      </w:r>
    </w:p>
    <w:p w14:paraId="39F17DB7">
      <w:pPr>
        <w:numPr>
          <w:ilvl w:val="0"/>
          <w:numId w:val="33"/>
        </w:numPr>
        <w:ind w:firstLine="420" w:firstLineChars="200"/>
        <w:rPr>
          <w:rFonts w:hint="eastAsia"/>
          <w:color w:val="auto"/>
        </w:rPr>
      </w:pPr>
      <w:r>
        <w:rPr>
          <w:rFonts w:hint="eastAsia"/>
          <w:color w:val="auto"/>
          <w:lang w:eastAsia="zh-CN"/>
        </w:rPr>
        <w:t>机关事务工作“十四五”规划（</w:t>
      </w:r>
      <w:r>
        <w:rPr>
          <w:rFonts w:hint="eastAsia"/>
          <w:color w:val="auto"/>
        </w:rPr>
        <w:t>国管办〔2021〕259号</w:t>
      </w:r>
      <w:r>
        <w:rPr>
          <w:rFonts w:hint="eastAsia"/>
          <w:color w:val="auto"/>
          <w:lang w:eastAsia="zh-CN"/>
        </w:rPr>
        <w:t>）</w:t>
      </w:r>
    </w:p>
    <w:p w14:paraId="1C03D1E0">
      <w:pPr>
        <w:numPr>
          <w:ilvl w:val="0"/>
          <w:numId w:val="33"/>
        </w:numPr>
        <w:ind w:firstLine="420" w:firstLineChars="200"/>
        <w:rPr>
          <w:rFonts w:hint="eastAsia"/>
          <w:color w:val="auto"/>
        </w:rPr>
      </w:pPr>
      <w:r>
        <w:rPr>
          <w:rFonts w:hint="eastAsia"/>
          <w:color w:val="auto"/>
          <w:lang w:eastAsia="zh-CN"/>
        </w:rPr>
        <w:t>江苏省党政机关公务用车管理办法（苏办发〔2018〕55号）</w:t>
      </w:r>
    </w:p>
    <w:p w14:paraId="4F819BEE">
      <w:pPr>
        <w:numPr>
          <w:ilvl w:val="0"/>
          <w:numId w:val="33"/>
        </w:numPr>
        <w:ind w:firstLine="420" w:firstLineChars="200"/>
        <w:rPr>
          <w:rFonts w:hint="eastAsia"/>
          <w:color w:val="auto"/>
        </w:rPr>
      </w:pPr>
      <w:r>
        <w:rPr>
          <w:rFonts w:hint="eastAsia"/>
          <w:color w:val="auto"/>
        </w:rPr>
        <w:t>江苏省汽车租赁经营行政许可规范</w:t>
      </w:r>
      <w:r>
        <w:rPr>
          <w:rFonts w:hint="eastAsia"/>
          <w:color w:val="auto"/>
          <w:lang w:eastAsia="zh-CN"/>
        </w:rPr>
        <w:t>（苏交规〔2014〕10号）</w:t>
      </w:r>
    </w:p>
    <w:p w14:paraId="46352EDD">
      <w:pPr>
        <w:pStyle w:val="56"/>
        <w:ind w:firstLine="0" w:firstLineChars="0"/>
        <w:jc w:val="both"/>
      </w:pPr>
    </w:p>
    <w:sectPr>
      <w:footerReference r:id="rId13" w:type="default"/>
      <w:pgSz w:w="11906" w:h="16838"/>
      <w:pgMar w:top="1134" w:right="1134" w:bottom="1134" w:left="1134" w:header="1418" w:footer="1134" w:gutter="284"/>
      <w:pgNumType w:fmt="decimal"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14032">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9DDB2">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985F5">
    <w:pPr>
      <w:pStyle w:val="5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A86C72">
                          <w:pPr>
                            <w:pStyle w:val="52"/>
                          </w:pPr>
                          <w:r>
                            <w:fldChar w:fldCharType="begin"/>
                          </w:r>
                          <w:r>
                            <w:instrText xml:space="preserve">PAGE   \* MERGEFORMAT</w:instrText>
                          </w:r>
                          <w:r>
                            <w:fldChar w:fldCharType="separate"/>
                          </w:r>
                          <w:r>
                            <w:rPr>
                              <w:lang w:val="zh-CN"/>
                            </w:rP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AA86C72">
                    <w:pPr>
                      <w:pStyle w:val="52"/>
                    </w:pPr>
                    <w:r>
                      <w:fldChar w:fldCharType="begin"/>
                    </w:r>
                    <w:r>
                      <w:instrText xml:space="preserve">PAGE   \* MERGEFORMAT</w:instrText>
                    </w:r>
                    <w:r>
                      <w:fldChar w:fldCharType="separate"/>
                    </w:r>
                    <w:r>
                      <w:rPr>
                        <w:lang w:val="zh-CN"/>
                      </w:rPr>
                      <w:t>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44A6A">
    <w:pPr>
      <w:pStyle w:val="52"/>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83AFCB">
                          <w:pPr>
                            <w:pStyle w:val="52"/>
                          </w:pPr>
                          <w:r>
                            <w:fldChar w:fldCharType="begin"/>
                          </w:r>
                          <w:r>
                            <w:instrText xml:space="preserve">PAGE   \* MERGEFORMAT</w:instrText>
                          </w:r>
                          <w:r>
                            <w:fldChar w:fldCharType="separate"/>
                          </w:r>
                          <w:r>
                            <w:rPr>
                              <w:lang w:val="zh-CN"/>
                            </w:rP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A83AFCB">
                    <w:pPr>
                      <w:pStyle w:val="52"/>
                    </w:pPr>
                    <w:r>
                      <w:fldChar w:fldCharType="begin"/>
                    </w:r>
                    <w:r>
                      <w:instrText xml:space="preserve">PAGE   \* MERGEFORMAT</w:instrText>
                    </w:r>
                    <w:r>
                      <w:fldChar w:fldCharType="separate"/>
                    </w:r>
                    <w:r>
                      <w:rPr>
                        <w:lang w:val="zh-CN"/>
                      </w:rP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04B3B">
    <w:pPr>
      <w:pStyle w:val="52"/>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CF3F2F">
                          <w:pPr>
                            <w:pStyle w:val="52"/>
                          </w:pPr>
                          <w:r>
                            <w:fldChar w:fldCharType="begin"/>
                          </w:r>
                          <w:r>
                            <w:instrText xml:space="preserve">PAGE   \* MERGEFORMAT</w:instrText>
                          </w:r>
                          <w:r>
                            <w:fldChar w:fldCharType="separate"/>
                          </w:r>
                          <w:r>
                            <w:rPr>
                              <w:lang w:val="zh-CN"/>
                            </w:rP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4CF3F2F">
                    <w:pPr>
                      <w:pStyle w:val="52"/>
                    </w:pPr>
                    <w:r>
                      <w:fldChar w:fldCharType="begin"/>
                    </w:r>
                    <w:r>
                      <w:instrText xml:space="preserve">PAGE   \* MERGEFORMAT</w:instrText>
                    </w:r>
                    <w:r>
                      <w:fldChar w:fldCharType="separate"/>
                    </w:r>
                    <w:r>
                      <w:rPr>
                        <w:lang w:val="zh-CN"/>
                      </w:rPr>
                      <w:t>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E380F">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B8C16">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E66AB">
    <w:pPr>
      <w:pStyle w:val="61"/>
    </w:pPr>
    <w:r>
      <w:fldChar w:fldCharType="begin"/>
    </w:r>
    <w:r>
      <w:instrText xml:space="preserve"> STYLEREF  标准文件_文件编号  \* MERGEFORMAT </w:instrText>
    </w:r>
    <w:r>
      <w:fldChar w:fldCharType="separate"/>
    </w:r>
    <w: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3F0D1">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36"/>
      <w:suff w:val="nothing"/>
      <w:lvlText w:val="%1.%2.%3　"/>
      <w:lvlJc w:val="left"/>
      <w:pPr>
        <w:ind w:left="0" w:firstLine="0"/>
      </w:pPr>
      <w:rPr>
        <w:rFonts w:hint="eastAsia" w:ascii="黑体" w:hAnsi="Times New Roman" w:eastAsia="黑体"/>
        <w:b w:val="0"/>
        <w:i w:val="0"/>
        <w:sz w:val="21"/>
      </w:rPr>
    </w:lvl>
    <w:lvl w:ilvl="3" w:tentative="0">
      <w:start w:val="1"/>
      <w:numFmt w:val="decimal"/>
      <w:pStyle w:val="240"/>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4112"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A2B1DA8"/>
    <w:multiLevelType w:val="singleLevel"/>
    <w:tmpl w:val="6A2B1DA8"/>
    <w:lvl w:ilvl="0" w:tentative="0">
      <w:start w:val="1"/>
      <w:numFmt w:val="decimal"/>
      <w:lvlText w:val="[%1]"/>
      <w:lvlJc w:val="left"/>
      <w:pPr>
        <w:tabs>
          <w:tab w:val="left" w:pos="312"/>
        </w:tabs>
      </w:p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1"/>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U5ZWY5NjA5ZTM4ZTZhMzMxNzZmN2Q5MWFmNjBmY2MifQ=="/>
  </w:docVars>
  <w:rsids>
    <w:rsidRoot w:val="002C3101"/>
    <w:rsid w:val="0000040A"/>
    <w:rsid w:val="00000A94"/>
    <w:rsid w:val="00001972"/>
    <w:rsid w:val="00001D9A"/>
    <w:rsid w:val="000045C3"/>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E61"/>
    <w:rsid w:val="00047F28"/>
    <w:rsid w:val="000503AA"/>
    <w:rsid w:val="000506A1"/>
    <w:rsid w:val="00051558"/>
    <w:rsid w:val="000515DD"/>
    <w:rsid w:val="0005265A"/>
    <w:rsid w:val="000539DD"/>
    <w:rsid w:val="00053BD3"/>
    <w:rsid w:val="00053EF7"/>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0"/>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84D"/>
    <w:rsid w:val="000E49EF"/>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091D"/>
    <w:rsid w:val="001642FA"/>
    <w:rsid w:val="001649EB"/>
    <w:rsid w:val="00164BAF"/>
    <w:rsid w:val="00164FA8"/>
    <w:rsid w:val="00165065"/>
    <w:rsid w:val="00165434"/>
    <w:rsid w:val="0016580B"/>
    <w:rsid w:val="00165F49"/>
    <w:rsid w:val="00166B88"/>
    <w:rsid w:val="00166CA6"/>
    <w:rsid w:val="0016770A"/>
    <w:rsid w:val="00170804"/>
    <w:rsid w:val="001708E9"/>
    <w:rsid w:val="0017340B"/>
    <w:rsid w:val="00173FB1"/>
    <w:rsid w:val="00176DFD"/>
    <w:rsid w:val="001852C9"/>
    <w:rsid w:val="00190087"/>
    <w:rsid w:val="001913C4"/>
    <w:rsid w:val="0019348F"/>
    <w:rsid w:val="0019353E"/>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38B"/>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979"/>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19D"/>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176"/>
    <w:rsid w:val="002A084B"/>
    <w:rsid w:val="002A1260"/>
    <w:rsid w:val="002A1589"/>
    <w:rsid w:val="002A1608"/>
    <w:rsid w:val="002A25DC"/>
    <w:rsid w:val="002A3AAB"/>
    <w:rsid w:val="002A4CEA"/>
    <w:rsid w:val="002A5977"/>
    <w:rsid w:val="002A5A13"/>
    <w:rsid w:val="002A757F"/>
    <w:rsid w:val="002A7F44"/>
    <w:rsid w:val="002B0C40"/>
    <w:rsid w:val="002B1966"/>
    <w:rsid w:val="002B3B94"/>
    <w:rsid w:val="002B4508"/>
    <w:rsid w:val="002B5779"/>
    <w:rsid w:val="002B7332"/>
    <w:rsid w:val="002B7F51"/>
    <w:rsid w:val="002C09E7"/>
    <w:rsid w:val="002C18D0"/>
    <w:rsid w:val="002C1E06"/>
    <w:rsid w:val="002C1E1C"/>
    <w:rsid w:val="002C3101"/>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00EF"/>
    <w:rsid w:val="003221B4"/>
    <w:rsid w:val="0032258D"/>
    <w:rsid w:val="00322E62"/>
    <w:rsid w:val="00323B15"/>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7A4"/>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6DCB"/>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E6C"/>
    <w:rsid w:val="0041477A"/>
    <w:rsid w:val="004167A3"/>
    <w:rsid w:val="00432DAA"/>
    <w:rsid w:val="00434305"/>
    <w:rsid w:val="00435DF7"/>
    <w:rsid w:val="0044083F"/>
    <w:rsid w:val="00441AE7"/>
    <w:rsid w:val="00445574"/>
    <w:rsid w:val="004467FB"/>
    <w:rsid w:val="00446E7D"/>
    <w:rsid w:val="00452D6B"/>
    <w:rsid w:val="00454484"/>
    <w:rsid w:val="0045517B"/>
    <w:rsid w:val="004575A7"/>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64BB"/>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AB1"/>
    <w:rsid w:val="004E1C0A"/>
    <w:rsid w:val="004E2B06"/>
    <w:rsid w:val="004E30C5"/>
    <w:rsid w:val="004E4AA5"/>
    <w:rsid w:val="004E4AEE"/>
    <w:rsid w:val="004E5907"/>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B90"/>
    <w:rsid w:val="00523F95"/>
    <w:rsid w:val="00524D65"/>
    <w:rsid w:val="00525B16"/>
    <w:rsid w:val="005338B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580"/>
    <w:rsid w:val="00581802"/>
    <w:rsid w:val="005836A8"/>
    <w:rsid w:val="0058409C"/>
    <w:rsid w:val="00584262"/>
    <w:rsid w:val="00586630"/>
    <w:rsid w:val="00587ADD"/>
    <w:rsid w:val="00591E27"/>
    <w:rsid w:val="005955D6"/>
    <w:rsid w:val="00595A21"/>
    <w:rsid w:val="00596160"/>
    <w:rsid w:val="005966E2"/>
    <w:rsid w:val="00597007"/>
    <w:rsid w:val="005A0966"/>
    <w:rsid w:val="005A11B7"/>
    <w:rsid w:val="005A1AD2"/>
    <w:rsid w:val="005A260B"/>
    <w:rsid w:val="005A4A1B"/>
    <w:rsid w:val="005A7830"/>
    <w:rsid w:val="005A7FCE"/>
    <w:rsid w:val="005B0F3F"/>
    <w:rsid w:val="005B4903"/>
    <w:rsid w:val="005B51CE"/>
    <w:rsid w:val="005B5885"/>
    <w:rsid w:val="005B5CD7"/>
    <w:rsid w:val="005B6CF6"/>
    <w:rsid w:val="005B7422"/>
    <w:rsid w:val="005C29B8"/>
    <w:rsid w:val="005C5F21"/>
    <w:rsid w:val="005C6AB4"/>
    <w:rsid w:val="005C7156"/>
    <w:rsid w:val="005D0C75"/>
    <w:rsid w:val="005D4171"/>
    <w:rsid w:val="005D6A95"/>
    <w:rsid w:val="005D6B2C"/>
    <w:rsid w:val="005D6D9C"/>
    <w:rsid w:val="005E2335"/>
    <w:rsid w:val="005E34CA"/>
    <w:rsid w:val="005E3C18"/>
    <w:rsid w:val="005E5B9C"/>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058"/>
    <w:rsid w:val="006816A4"/>
    <w:rsid w:val="006819B8"/>
    <w:rsid w:val="00682802"/>
    <w:rsid w:val="00682D30"/>
    <w:rsid w:val="006840A6"/>
    <w:rsid w:val="006850CD"/>
    <w:rsid w:val="00685AAB"/>
    <w:rsid w:val="00695D22"/>
    <w:rsid w:val="006A07AA"/>
    <w:rsid w:val="006A25E5"/>
    <w:rsid w:val="006A2B46"/>
    <w:rsid w:val="006A336D"/>
    <w:rsid w:val="006A37B9"/>
    <w:rsid w:val="006A6728"/>
    <w:rsid w:val="006B2672"/>
    <w:rsid w:val="006B54BF"/>
    <w:rsid w:val="006B5F44"/>
    <w:rsid w:val="006B5F90"/>
    <w:rsid w:val="006B62E4"/>
    <w:rsid w:val="006C1BBA"/>
    <w:rsid w:val="006C2079"/>
    <w:rsid w:val="006C29FB"/>
    <w:rsid w:val="006C570D"/>
    <w:rsid w:val="006C5A62"/>
    <w:rsid w:val="006C5D68"/>
    <w:rsid w:val="006C6976"/>
    <w:rsid w:val="006C6DD0"/>
    <w:rsid w:val="006D04EA"/>
    <w:rsid w:val="006D0AB7"/>
    <w:rsid w:val="006D16C4"/>
    <w:rsid w:val="006D3E96"/>
    <w:rsid w:val="006D40F4"/>
    <w:rsid w:val="006D4515"/>
    <w:rsid w:val="006D4BB1"/>
    <w:rsid w:val="006D6593"/>
    <w:rsid w:val="006E23EA"/>
    <w:rsid w:val="006F03A8"/>
    <w:rsid w:val="006F2ACA"/>
    <w:rsid w:val="006F2ADC"/>
    <w:rsid w:val="006F2BFE"/>
    <w:rsid w:val="006F31E9"/>
    <w:rsid w:val="006F32E7"/>
    <w:rsid w:val="006F6284"/>
    <w:rsid w:val="007002C5"/>
    <w:rsid w:val="00704387"/>
    <w:rsid w:val="00707669"/>
    <w:rsid w:val="00711CBA"/>
    <w:rsid w:val="00711FB5"/>
    <w:rsid w:val="00712A01"/>
    <w:rsid w:val="00714F58"/>
    <w:rsid w:val="007222F5"/>
    <w:rsid w:val="00722FBF"/>
    <w:rsid w:val="00722FC2"/>
    <w:rsid w:val="00723616"/>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3DF"/>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44DE"/>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233"/>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511"/>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BC4"/>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076E"/>
    <w:rsid w:val="009911AF"/>
    <w:rsid w:val="00991875"/>
    <w:rsid w:val="00991F92"/>
    <w:rsid w:val="009927F5"/>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2272"/>
    <w:rsid w:val="009D47FA"/>
    <w:rsid w:val="009D4C5B"/>
    <w:rsid w:val="009D50D2"/>
    <w:rsid w:val="009D638C"/>
    <w:rsid w:val="009D6BCA"/>
    <w:rsid w:val="009E0F62"/>
    <w:rsid w:val="009E4A58"/>
    <w:rsid w:val="009E5A2D"/>
    <w:rsid w:val="009E5AB2"/>
    <w:rsid w:val="009E6219"/>
    <w:rsid w:val="009F03B3"/>
    <w:rsid w:val="009F6742"/>
    <w:rsid w:val="009F7DA4"/>
    <w:rsid w:val="00A0096C"/>
    <w:rsid w:val="00A01757"/>
    <w:rsid w:val="00A026D6"/>
    <w:rsid w:val="00A028C0"/>
    <w:rsid w:val="00A02BAE"/>
    <w:rsid w:val="00A06A6B"/>
    <w:rsid w:val="00A07E47"/>
    <w:rsid w:val="00A108A7"/>
    <w:rsid w:val="00A129D0"/>
    <w:rsid w:val="00A12C33"/>
    <w:rsid w:val="00A138BA"/>
    <w:rsid w:val="00A14C8E"/>
    <w:rsid w:val="00A1513E"/>
    <w:rsid w:val="00A153D9"/>
    <w:rsid w:val="00A15F09"/>
    <w:rsid w:val="00A169B6"/>
    <w:rsid w:val="00A211FA"/>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F5A"/>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B0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3BAB"/>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063"/>
    <w:rsid w:val="00C22148"/>
    <w:rsid w:val="00C24C8D"/>
    <w:rsid w:val="00C25FE2"/>
    <w:rsid w:val="00C26B53"/>
    <w:rsid w:val="00C279B2"/>
    <w:rsid w:val="00C33E50"/>
    <w:rsid w:val="00C34C20"/>
    <w:rsid w:val="00C35A3E"/>
    <w:rsid w:val="00C42130"/>
    <w:rsid w:val="00C423A4"/>
    <w:rsid w:val="00C44BF5"/>
    <w:rsid w:val="00C459E0"/>
    <w:rsid w:val="00C479B5"/>
    <w:rsid w:val="00C521D6"/>
    <w:rsid w:val="00C55232"/>
    <w:rsid w:val="00C553A4"/>
    <w:rsid w:val="00C55A06"/>
    <w:rsid w:val="00C55D03"/>
    <w:rsid w:val="00C601BC"/>
    <w:rsid w:val="00C6329F"/>
    <w:rsid w:val="00C63340"/>
    <w:rsid w:val="00C643F9"/>
    <w:rsid w:val="00C64E95"/>
    <w:rsid w:val="00C65C98"/>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375"/>
    <w:rsid w:val="00CB1A42"/>
    <w:rsid w:val="00CB1B0C"/>
    <w:rsid w:val="00CB2C0B"/>
    <w:rsid w:val="00CB517D"/>
    <w:rsid w:val="00CB5DAD"/>
    <w:rsid w:val="00CC038D"/>
    <w:rsid w:val="00CC08DB"/>
    <w:rsid w:val="00CC39FF"/>
    <w:rsid w:val="00CC3C2F"/>
    <w:rsid w:val="00CC4AC8"/>
    <w:rsid w:val="00CC5233"/>
    <w:rsid w:val="00CC5DE6"/>
    <w:rsid w:val="00CC5E49"/>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7B1D"/>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1578"/>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6385"/>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374"/>
    <w:rsid w:val="00E56800"/>
    <w:rsid w:val="00E60C63"/>
    <w:rsid w:val="00E62FF9"/>
    <w:rsid w:val="00E635D6"/>
    <w:rsid w:val="00E636C3"/>
    <w:rsid w:val="00E639BC"/>
    <w:rsid w:val="00E664CC"/>
    <w:rsid w:val="00E70388"/>
    <w:rsid w:val="00E70F92"/>
    <w:rsid w:val="00E74C54"/>
    <w:rsid w:val="00E77A03"/>
    <w:rsid w:val="00E8074D"/>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242"/>
    <w:rsid w:val="00E969D5"/>
    <w:rsid w:val="00EA58D1"/>
    <w:rsid w:val="00EA61BC"/>
    <w:rsid w:val="00EA681A"/>
    <w:rsid w:val="00EA735B"/>
    <w:rsid w:val="00EB17DE"/>
    <w:rsid w:val="00EB1E69"/>
    <w:rsid w:val="00EB2086"/>
    <w:rsid w:val="00EB366E"/>
    <w:rsid w:val="00EB50B2"/>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1B13"/>
    <w:rsid w:val="00EF3235"/>
    <w:rsid w:val="00EF7E72"/>
    <w:rsid w:val="00F06D37"/>
    <w:rsid w:val="00F07B9D"/>
    <w:rsid w:val="00F11586"/>
    <w:rsid w:val="00F1183B"/>
    <w:rsid w:val="00F11C9F"/>
    <w:rsid w:val="00F12263"/>
    <w:rsid w:val="00F1409D"/>
    <w:rsid w:val="00F14214"/>
    <w:rsid w:val="00F157A9"/>
    <w:rsid w:val="00F15C8E"/>
    <w:rsid w:val="00F25BB6"/>
    <w:rsid w:val="00F26B7E"/>
    <w:rsid w:val="00F27A3B"/>
    <w:rsid w:val="00F30541"/>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3A"/>
    <w:rsid w:val="00F96CAE"/>
    <w:rsid w:val="00F97C99"/>
    <w:rsid w:val="00FA37C1"/>
    <w:rsid w:val="00FA4DAC"/>
    <w:rsid w:val="00FA662D"/>
    <w:rsid w:val="00FA73B1"/>
    <w:rsid w:val="00FB0CB9"/>
    <w:rsid w:val="00FB231D"/>
    <w:rsid w:val="00FB45F1"/>
    <w:rsid w:val="00FB4A72"/>
    <w:rsid w:val="00FB54E8"/>
    <w:rsid w:val="00FB7054"/>
    <w:rsid w:val="00FC17B7"/>
    <w:rsid w:val="00FC2CB7"/>
    <w:rsid w:val="00FC4090"/>
    <w:rsid w:val="00FC55B4"/>
    <w:rsid w:val="00FC64A2"/>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2D277D"/>
    <w:rsid w:val="0CE24C36"/>
    <w:rsid w:val="102940DD"/>
    <w:rsid w:val="10C72324"/>
    <w:rsid w:val="116575D6"/>
    <w:rsid w:val="146336E4"/>
    <w:rsid w:val="1C151372"/>
    <w:rsid w:val="1FA63A06"/>
    <w:rsid w:val="22FE2514"/>
    <w:rsid w:val="25F63DCF"/>
    <w:rsid w:val="26FD367B"/>
    <w:rsid w:val="272645EC"/>
    <w:rsid w:val="2EAA494B"/>
    <w:rsid w:val="2F8A4744"/>
    <w:rsid w:val="309767DA"/>
    <w:rsid w:val="316F75E3"/>
    <w:rsid w:val="31CD0995"/>
    <w:rsid w:val="330723DC"/>
    <w:rsid w:val="34B76327"/>
    <w:rsid w:val="35672917"/>
    <w:rsid w:val="3BD079B7"/>
    <w:rsid w:val="3CB060F4"/>
    <w:rsid w:val="41547687"/>
    <w:rsid w:val="42BF06B2"/>
    <w:rsid w:val="42E158E9"/>
    <w:rsid w:val="48454D2A"/>
    <w:rsid w:val="49566A58"/>
    <w:rsid w:val="4B711009"/>
    <w:rsid w:val="4CA568F5"/>
    <w:rsid w:val="4DCD634E"/>
    <w:rsid w:val="52084536"/>
    <w:rsid w:val="523935DD"/>
    <w:rsid w:val="527B6FC7"/>
    <w:rsid w:val="52A306DD"/>
    <w:rsid w:val="52F10F75"/>
    <w:rsid w:val="567A44F9"/>
    <w:rsid w:val="572474B6"/>
    <w:rsid w:val="578F43D7"/>
    <w:rsid w:val="600E21B4"/>
    <w:rsid w:val="60BA6AEF"/>
    <w:rsid w:val="63C16865"/>
    <w:rsid w:val="66BF0209"/>
    <w:rsid w:val="680F6E75"/>
    <w:rsid w:val="6B33493A"/>
    <w:rsid w:val="6BFA733C"/>
    <w:rsid w:val="6D0B1344"/>
    <w:rsid w:val="6F1F3C7A"/>
    <w:rsid w:val="6F6C0B00"/>
    <w:rsid w:val="70834F1F"/>
    <w:rsid w:val="70940740"/>
    <w:rsid w:val="767D0869"/>
    <w:rsid w:val="79980C44"/>
    <w:rsid w:val="7DD12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ind w:left="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目次、标准名称标题"/>
    <w:basedOn w:val="1"/>
    <w:next w:val="23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2">
    <w:name w:val="标准书眉_偶数页"/>
    <w:basedOn w:val="233"/>
    <w:next w:val="1"/>
    <w:qFormat/>
    <w:uiPriority w:val="0"/>
    <w:pPr>
      <w:tabs>
        <w:tab w:val="center" w:pos="4154"/>
        <w:tab w:val="right" w:pos="8306"/>
      </w:tabs>
      <w:jc w:val="left"/>
    </w:pPr>
  </w:style>
  <w:style w:type="paragraph" w:customStyle="1" w:styleId="23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4">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235">
    <w:name w:val="一级条标题"/>
    <w:next w:val="231"/>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6">
    <w:name w:val="二级条标题"/>
    <w:basedOn w:val="235"/>
    <w:next w:val="231"/>
    <w:qFormat/>
    <w:uiPriority w:val="0"/>
    <w:pPr>
      <w:numPr>
        <w:ilvl w:val="2"/>
      </w:numPr>
      <w:spacing w:before="50" w:after="50"/>
      <w:outlineLvl w:val="3"/>
    </w:pPr>
  </w:style>
  <w:style w:type="paragraph" w:customStyle="1" w:styleId="237">
    <w:name w:val="参考文献"/>
    <w:basedOn w:val="1"/>
    <w:next w:val="23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38">
    <w:name w:val="终结线"/>
    <w:basedOn w:val="1"/>
    <w:qFormat/>
    <w:uiPriority w:val="0"/>
    <w:pPr>
      <w:framePr w:hSpace="181" w:vSpace="181" w:wrap="around" w:vAnchor="text" w:hAnchor="margin" w:xAlign="center" w:y="285"/>
    </w:pPr>
  </w:style>
  <w:style w:type="paragraph" w:customStyle="1" w:styleId="239">
    <w:name w:val="章标题"/>
    <w:next w:val="231"/>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40">
    <w:name w:val="三级条标题"/>
    <w:basedOn w:val="236"/>
    <w:next w:val="231"/>
    <w:qFormat/>
    <w:uiPriority w:val="0"/>
    <w:pPr>
      <w:numPr>
        <w:ilvl w:val="3"/>
      </w:numPr>
      <w:outlineLvl w:val="4"/>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666F49FE7CC41BBBE19ED9ED4CCF88A"/>
        <w:style w:val=""/>
        <w:category>
          <w:name w:val="常规"/>
          <w:gallery w:val="placeholder"/>
        </w:category>
        <w:types>
          <w:type w:val="bbPlcHdr"/>
        </w:types>
        <w:behaviors>
          <w:behavior w:val="content"/>
        </w:behaviors>
        <w:description w:val=""/>
        <w:guid w:val="{E67C7EF0-615F-4B42-8667-27807FC14D7E}"/>
      </w:docPartPr>
      <w:docPartBody>
        <w:p w14:paraId="38DE973F">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0A3"/>
    <w:rsid w:val="0048138B"/>
    <w:rsid w:val="00495814"/>
    <w:rsid w:val="00513230"/>
    <w:rsid w:val="00542E5D"/>
    <w:rsid w:val="00582E06"/>
    <w:rsid w:val="00602CCA"/>
    <w:rsid w:val="007A271F"/>
    <w:rsid w:val="00C160A3"/>
    <w:rsid w:val="00EE2469"/>
    <w:rsid w:val="00EF7C2C"/>
    <w:rsid w:val="00FB4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666F49FE7CC41BBBE19ED9ED4CCF88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236FDBE083D46018D978619D749233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99D48EE09FE48D8AA439A337ED93D0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85AFBF-0958-4DE7-8718-46ABA7A28B6B}">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3059</Words>
  <Characters>3585</Characters>
  <Lines>53</Lines>
  <Paragraphs>15</Paragraphs>
  <TotalTime>5</TotalTime>
  <ScaleCrop>false</ScaleCrop>
  <LinksUpToDate>false</LinksUpToDate>
  <CharactersWithSpaces>3751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2023-01-19T07:10:00Z</dcterms:created>
  <dc:creator>Clz</dc:creator>
  <dc:description>&lt;config cover="true" show_menu="true" version="1.0.0" doctype="SDKXY"&gt;_x000d_
&lt;/config&gt;</dc:description>
  <cp:lastModifiedBy>Administrator</cp:lastModifiedBy>
  <cp:lastPrinted>2024-06-27T06:46:00Z</cp:lastPrinted>
  <dcterms:modified xsi:type="dcterms:W3CDTF">2024-07-01T06:02:56Z</dcterms:modified>
  <dc:title>地方标准</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2052-12.1.0.17133</vt:lpwstr>
  </property>
  <property fmtid="{D5CDD505-2E9C-101B-9397-08002B2CF9AE}" pid="15" name="ICV">
    <vt:lpwstr>030AF9F8A36D4836A4C99E56FE97B044_13</vt:lpwstr>
  </property>
</Properties>
</file>